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3FFED" w14:textId="31B9E486" w:rsidR="00CC038A" w:rsidRPr="001F40A8" w:rsidRDefault="00CC038A" w:rsidP="002B68F8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1F40A8">
        <w:rPr>
          <w:rFonts w:ascii="Times New Roman" w:hAnsi="Times New Roman" w:cs="Times New Roman"/>
          <w:b/>
          <w:bCs/>
          <w:sz w:val="32"/>
          <w:szCs w:val="32"/>
          <w:u w:val="single"/>
        </w:rPr>
        <w:t>Special Use Facilities</w:t>
      </w:r>
      <w:r w:rsidR="002B68F8">
        <w:rPr>
          <w:rFonts w:ascii="Times New Roman" w:hAnsi="Times New Roman" w:cs="Times New Roman"/>
          <w:b/>
          <w:bCs/>
          <w:sz w:val="32"/>
          <w:szCs w:val="32"/>
          <w:u w:val="single"/>
        </w:rPr>
        <w:t>-Key Decision Criteria</w:t>
      </w:r>
    </w:p>
    <w:p w14:paraId="4CE9B1D0" w14:textId="0DE2334C" w:rsidR="00E70F60" w:rsidRPr="00EF7B7F" w:rsidRDefault="007548C9" w:rsidP="00E70F6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855E7">
        <w:rPr>
          <w:rFonts w:ascii="Times New Roman" w:hAnsi="Times New Roman" w:cs="Times New Roman"/>
          <w:sz w:val="22"/>
          <w:szCs w:val="22"/>
        </w:rPr>
        <w:t xml:space="preserve">Special use facilities are statutorily </w:t>
      </w:r>
      <w:r w:rsidR="007F1DBA">
        <w:rPr>
          <w:rFonts w:ascii="Times New Roman" w:hAnsi="Times New Roman" w:cs="Times New Roman"/>
          <w:sz w:val="22"/>
          <w:szCs w:val="22"/>
        </w:rPr>
        <w:t xml:space="preserve">and programmatically </w:t>
      </w:r>
      <w:r w:rsidRPr="00D855E7">
        <w:rPr>
          <w:rFonts w:ascii="Times New Roman" w:hAnsi="Times New Roman" w:cs="Times New Roman"/>
          <w:sz w:val="22"/>
          <w:szCs w:val="22"/>
        </w:rPr>
        <w:t>eligible facilities where a facility meets</w:t>
      </w:r>
      <w:r w:rsidR="000F5EDA" w:rsidRPr="00D855E7">
        <w:rPr>
          <w:rFonts w:ascii="Times New Roman" w:hAnsi="Times New Roman" w:cs="Times New Roman"/>
          <w:sz w:val="22"/>
          <w:szCs w:val="22"/>
        </w:rPr>
        <w:t xml:space="preserve"> and is licensed/regulated pursuant to</w:t>
      </w:r>
      <w:r w:rsidRPr="00D855E7">
        <w:rPr>
          <w:rFonts w:ascii="Times New Roman" w:hAnsi="Times New Roman" w:cs="Times New Roman"/>
          <w:sz w:val="22"/>
          <w:szCs w:val="22"/>
        </w:rPr>
        <w:t xml:space="preserve"> the requirements in HUD Handbook 4232.1, Rev. 1, Section II, Production, Chapter 2.2, but also serves a niche market</w:t>
      </w:r>
      <w:r w:rsidR="00F96C01" w:rsidRPr="00D855E7">
        <w:rPr>
          <w:rFonts w:ascii="Times New Roman" w:hAnsi="Times New Roman" w:cs="Times New Roman"/>
          <w:sz w:val="22"/>
          <w:szCs w:val="22"/>
        </w:rPr>
        <w:t xml:space="preserve">.  </w:t>
      </w:r>
      <w:r w:rsidR="00D855E7">
        <w:rPr>
          <w:rFonts w:ascii="Times New Roman" w:hAnsi="Times New Roman" w:cs="Times New Roman"/>
          <w:sz w:val="22"/>
          <w:szCs w:val="22"/>
        </w:rPr>
        <w:t>Residents in a special use facility</w:t>
      </w:r>
      <w:r w:rsidR="00F96C01" w:rsidRPr="00D855E7">
        <w:rPr>
          <w:rFonts w:ascii="Times New Roman" w:hAnsi="Times New Roman" w:cs="Times New Roman"/>
          <w:sz w:val="22"/>
          <w:szCs w:val="22"/>
        </w:rPr>
        <w:t xml:space="preserve"> </w:t>
      </w:r>
      <w:r w:rsidR="000F3CAA">
        <w:rPr>
          <w:rFonts w:ascii="Times New Roman" w:hAnsi="Times New Roman" w:cs="Times New Roman"/>
          <w:sz w:val="22"/>
          <w:szCs w:val="22"/>
        </w:rPr>
        <w:t>can</w:t>
      </w:r>
      <w:r w:rsidRPr="00D855E7">
        <w:rPr>
          <w:rFonts w:ascii="Times New Roman" w:hAnsi="Times New Roman" w:cs="Times New Roman"/>
          <w:sz w:val="22"/>
          <w:szCs w:val="22"/>
        </w:rPr>
        <w:t xml:space="preserve">not require the level of care provided in a hospital.  </w:t>
      </w:r>
    </w:p>
    <w:p w14:paraId="7A1F96E8" w14:textId="77777777" w:rsidR="000F3CAA" w:rsidRPr="00D855E7" w:rsidRDefault="000F3CAA" w:rsidP="00E70F60">
      <w:pPr>
        <w:pStyle w:val="Default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1B6CD2D" w14:textId="0186E64A" w:rsidR="007548C9" w:rsidRPr="00EF7B7F" w:rsidRDefault="00EF7B7F" w:rsidP="00AD30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7B7F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0F3CAA" w:rsidRPr="00EF7B7F">
        <w:rPr>
          <w:rFonts w:ascii="Times New Roman" w:hAnsi="Times New Roman" w:cs="Times New Roman"/>
          <w:b/>
          <w:bCs/>
          <w:sz w:val="24"/>
          <w:szCs w:val="24"/>
        </w:rPr>
        <w:t xml:space="preserve">haracteristics of </w:t>
      </w:r>
      <w:r w:rsidRPr="00EF7B7F">
        <w:rPr>
          <w:rFonts w:ascii="Times New Roman" w:hAnsi="Times New Roman" w:cs="Times New Roman"/>
          <w:b/>
          <w:bCs/>
          <w:sz w:val="24"/>
          <w:szCs w:val="24"/>
        </w:rPr>
        <w:t>Successful Applications</w:t>
      </w:r>
    </w:p>
    <w:tbl>
      <w:tblPr>
        <w:tblStyle w:val="TableGrid"/>
        <w:tblW w:w="10608" w:type="dxa"/>
        <w:jc w:val="center"/>
        <w:tblLook w:val="04A0" w:firstRow="1" w:lastRow="0" w:firstColumn="1" w:lastColumn="0" w:noHBand="0" w:noVBand="1"/>
      </w:tblPr>
      <w:tblGrid>
        <w:gridCol w:w="2425"/>
        <w:gridCol w:w="1033"/>
        <w:gridCol w:w="1523"/>
        <w:gridCol w:w="1674"/>
        <w:gridCol w:w="1890"/>
        <w:gridCol w:w="2063"/>
      </w:tblGrid>
      <w:tr w:rsidR="00AD307A" w:rsidRPr="00CC038A" w14:paraId="01B69FF7" w14:textId="745F6ECD" w:rsidTr="00D855E7">
        <w:trPr>
          <w:jc w:val="center"/>
        </w:trPr>
        <w:tc>
          <w:tcPr>
            <w:tcW w:w="2425" w:type="dxa"/>
            <w:shd w:val="clear" w:color="auto" w:fill="DBDBDB" w:themeFill="accent3" w:themeFillTint="66"/>
          </w:tcPr>
          <w:p w14:paraId="3E995311" w14:textId="3B5F5013" w:rsidR="00AD307A" w:rsidRPr="00CC038A" w:rsidRDefault="00AD307A" w:rsidP="00AA64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038A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033" w:type="dxa"/>
            <w:shd w:val="clear" w:color="auto" w:fill="DBDBDB" w:themeFill="accent3" w:themeFillTint="66"/>
          </w:tcPr>
          <w:p w14:paraId="1B148261" w14:textId="7A7F8B26" w:rsidR="00AD307A" w:rsidRPr="00CC038A" w:rsidRDefault="00AD307A" w:rsidP="00AA64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038A">
              <w:rPr>
                <w:rFonts w:ascii="Times New Roman" w:hAnsi="Times New Roman" w:cs="Times New Roman"/>
                <w:b/>
                <w:bCs/>
              </w:rPr>
              <w:t>Loan Term</w:t>
            </w:r>
          </w:p>
        </w:tc>
        <w:tc>
          <w:tcPr>
            <w:tcW w:w="1523" w:type="dxa"/>
            <w:shd w:val="clear" w:color="auto" w:fill="DBDBDB" w:themeFill="accent3" w:themeFillTint="66"/>
          </w:tcPr>
          <w:p w14:paraId="7CDA767C" w14:textId="3A3AFEB2" w:rsidR="00AD307A" w:rsidRPr="00CC038A" w:rsidRDefault="00AD307A" w:rsidP="00AA64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038A">
              <w:rPr>
                <w:rFonts w:ascii="Times New Roman" w:hAnsi="Times New Roman" w:cs="Times New Roman"/>
                <w:b/>
                <w:bCs/>
              </w:rPr>
              <w:t>Experience</w:t>
            </w:r>
          </w:p>
        </w:tc>
        <w:tc>
          <w:tcPr>
            <w:tcW w:w="1674" w:type="dxa"/>
            <w:shd w:val="clear" w:color="auto" w:fill="DBDBDB" w:themeFill="accent3" w:themeFillTint="66"/>
          </w:tcPr>
          <w:p w14:paraId="7492516C" w14:textId="356ACC2F" w:rsidR="00AD307A" w:rsidRPr="00CC038A" w:rsidRDefault="00D307C9" w:rsidP="00AA64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Maximum </w:t>
            </w:r>
            <w:r w:rsidR="00AD307A" w:rsidRPr="00CC038A">
              <w:rPr>
                <w:rFonts w:ascii="Times New Roman" w:hAnsi="Times New Roman" w:cs="Times New Roman"/>
                <w:b/>
                <w:bCs/>
              </w:rPr>
              <w:t>LTV</w:t>
            </w:r>
          </w:p>
        </w:tc>
        <w:tc>
          <w:tcPr>
            <w:tcW w:w="1890" w:type="dxa"/>
            <w:shd w:val="clear" w:color="auto" w:fill="DBDBDB" w:themeFill="accent3" w:themeFillTint="66"/>
          </w:tcPr>
          <w:p w14:paraId="64007C8A" w14:textId="21C11777" w:rsidR="00AD307A" w:rsidRPr="00CC038A" w:rsidRDefault="00AD307A" w:rsidP="00AA64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038A">
              <w:rPr>
                <w:rFonts w:ascii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hAnsi="Times New Roman" w:cs="Times New Roman"/>
                <w:b/>
                <w:bCs/>
              </w:rPr>
              <w:t>ecent Purchase, Quick Turnaround</w:t>
            </w:r>
          </w:p>
        </w:tc>
        <w:tc>
          <w:tcPr>
            <w:tcW w:w="2063" w:type="dxa"/>
            <w:shd w:val="clear" w:color="auto" w:fill="DBDBDB" w:themeFill="accent3" w:themeFillTint="66"/>
          </w:tcPr>
          <w:p w14:paraId="2EB7CFF1" w14:textId="395751BA" w:rsidR="00AD307A" w:rsidRPr="00CC038A" w:rsidRDefault="00AD307A" w:rsidP="00AA64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038A">
              <w:rPr>
                <w:rFonts w:ascii="Times New Roman" w:hAnsi="Times New Roman" w:cs="Times New Roman"/>
                <w:b/>
                <w:bCs/>
              </w:rPr>
              <w:t>Limited Debt Seasoning Exception</w:t>
            </w:r>
          </w:p>
        </w:tc>
      </w:tr>
      <w:tr w:rsidR="00AD307A" w:rsidRPr="00CC038A" w14:paraId="52A69BFD" w14:textId="405A776A" w:rsidTr="00D855E7">
        <w:trPr>
          <w:jc w:val="center"/>
        </w:trPr>
        <w:tc>
          <w:tcPr>
            <w:tcW w:w="2425" w:type="dxa"/>
          </w:tcPr>
          <w:p w14:paraId="56237470" w14:textId="16315EBD" w:rsidR="00AD307A" w:rsidRPr="00AD307A" w:rsidRDefault="00AD307A" w:rsidP="00AA64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307A">
              <w:rPr>
                <w:rFonts w:ascii="Times New Roman" w:hAnsi="Times New Roman" w:cs="Times New Roman"/>
                <w:b/>
                <w:bCs/>
              </w:rPr>
              <w:t>Assisted Living/Board and Care Medicaid Waiver with an Enhanced Services Contract</w:t>
            </w:r>
          </w:p>
        </w:tc>
        <w:tc>
          <w:tcPr>
            <w:tcW w:w="1033" w:type="dxa"/>
          </w:tcPr>
          <w:p w14:paraId="2936BEE3" w14:textId="20E9C147" w:rsidR="00AD307A" w:rsidRPr="00CC038A" w:rsidRDefault="00AD307A" w:rsidP="00AA6471">
            <w:pPr>
              <w:jc w:val="center"/>
              <w:rPr>
                <w:rFonts w:ascii="Times New Roman" w:hAnsi="Times New Roman" w:cs="Times New Roman"/>
              </w:rPr>
            </w:pPr>
            <w:r w:rsidRPr="00CC038A">
              <w:rPr>
                <w:rFonts w:ascii="Times New Roman" w:hAnsi="Times New Roman" w:cs="Times New Roman"/>
              </w:rPr>
              <w:t>20 year</w:t>
            </w:r>
            <w:r>
              <w:rPr>
                <w:rFonts w:ascii="Times New Roman" w:hAnsi="Times New Roman" w:cs="Times New Roman"/>
              </w:rPr>
              <w:t>s or less</w:t>
            </w:r>
          </w:p>
        </w:tc>
        <w:tc>
          <w:tcPr>
            <w:tcW w:w="1523" w:type="dxa"/>
          </w:tcPr>
          <w:p w14:paraId="3445DEE9" w14:textId="733D9F91" w:rsidR="00AD307A" w:rsidRPr="00CC038A" w:rsidRDefault="00AD307A" w:rsidP="00AA6471">
            <w:pPr>
              <w:jc w:val="center"/>
              <w:rPr>
                <w:rFonts w:ascii="Times New Roman" w:hAnsi="Times New Roman" w:cs="Times New Roman"/>
              </w:rPr>
            </w:pPr>
            <w:r w:rsidRPr="00CC038A">
              <w:rPr>
                <w:rFonts w:ascii="Times New Roman" w:hAnsi="Times New Roman" w:cs="Times New Roman"/>
              </w:rPr>
              <w:t>5+ years of relevant experience with this type of facility</w:t>
            </w:r>
          </w:p>
        </w:tc>
        <w:tc>
          <w:tcPr>
            <w:tcW w:w="1674" w:type="dxa"/>
          </w:tcPr>
          <w:p w14:paraId="3ABF3D69" w14:textId="5D27FFA4" w:rsidR="00AD307A" w:rsidRPr="00CC038A" w:rsidRDefault="00AD307A" w:rsidP="00AA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CC038A">
              <w:rPr>
                <w:rFonts w:ascii="Times New Roman" w:hAnsi="Times New Roman" w:cs="Times New Roman"/>
              </w:rPr>
              <w:t>% LTV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</w:tcPr>
          <w:p w14:paraId="77855F51" w14:textId="13DA0C3A" w:rsidR="00AD307A" w:rsidRPr="00CC038A" w:rsidRDefault="00AD307A" w:rsidP="00AA6471">
            <w:pPr>
              <w:jc w:val="center"/>
              <w:rPr>
                <w:rFonts w:ascii="Times New Roman" w:hAnsi="Times New Roman" w:cs="Times New Roman"/>
              </w:rPr>
            </w:pPr>
            <w:r w:rsidRPr="00CC038A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063" w:type="dxa"/>
          </w:tcPr>
          <w:p w14:paraId="144653F8" w14:textId="67422A1B" w:rsidR="00AD307A" w:rsidRPr="00CC038A" w:rsidRDefault="00AD307A" w:rsidP="00AA6471">
            <w:pPr>
              <w:jc w:val="center"/>
              <w:rPr>
                <w:rFonts w:ascii="Times New Roman" w:hAnsi="Times New Roman" w:cs="Times New Roman"/>
              </w:rPr>
            </w:pPr>
            <w:r w:rsidRPr="00CC038A">
              <w:rPr>
                <w:rFonts w:ascii="Times New Roman" w:hAnsi="Times New Roman" w:cs="Times New Roman"/>
              </w:rPr>
              <w:t>No</w:t>
            </w:r>
          </w:p>
        </w:tc>
      </w:tr>
      <w:tr w:rsidR="00AD307A" w:rsidRPr="00CC038A" w14:paraId="44582EB6" w14:textId="6059F584" w:rsidTr="00D855E7">
        <w:trPr>
          <w:jc w:val="center"/>
        </w:trPr>
        <w:tc>
          <w:tcPr>
            <w:tcW w:w="2425" w:type="dxa"/>
          </w:tcPr>
          <w:p w14:paraId="5CBB1299" w14:textId="4757A3E9" w:rsidR="00AD307A" w:rsidRPr="00AD307A" w:rsidRDefault="00AD307A" w:rsidP="00AA64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307A">
              <w:rPr>
                <w:rFonts w:ascii="Times New Roman" w:hAnsi="Times New Roman" w:cs="Times New Roman"/>
                <w:b/>
                <w:bCs/>
              </w:rPr>
              <w:t>SNF with regular license, but has MI/DD as a primary or secondary diagnosis (</w:t>
            </w:r>
            <w:r w:rsidR="000B44D0">
              <w:rPr>
                <w:rFonts w:ascii="Times New Roman" w:hAnsi="Times New Roman" w:cs="Times New Roman"/>
                <w:b/>
                <w:bCs/>
              </w:rPr>
              <w:t>20% or more of the</w:t>
            </w:r>
            <w:r w:rsidRPr="00AD307A">
              <w:rPr>
                <w:rFonts w:ascii="Times New Roman" w:hAnsi="Times New Roman" w:cs="Times New Roman"/>
                <w:b/>
                <w:bCs/>
              </w:rPr>
              <w:t xml:space="preserve"> facilit</w:t>
            </w:r>
            <w:r w:rsidR="00363033">
              <w:rPr>
                <w:rFonts w:ascii="Times New Roman" w:hAnsi="Times New Roman" w:cs="Times New Roman"/>
                <w:b/>
                <w:bCs/>
              </w:rPr>
              <w:t>y’s revenue</w:t>
            </w:r>
            <w:r w:rsidRPr="00AD307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033" w:type="dxa"/>
          </w:tcPr>
          <w:p w14:paraId="0FC561AF" w14:textId="0F96C88F" w:rsidR="00AD307A" w:rsidRPr="00CC038A" w:rsidRDefault="00AD307A" w:rsidP="00AA6471">
            <w:pPr>
              <w:jc w:val="center"/>
              <w:rPr>
                <w:rFonts w:ascii="Times New Roman" w:hAnsi="Times New Roman" w:cs="Times New Roman"/>
              </w:rPr>
            </w:pPr>
            <w:r w:rsidRPr="00CC038A">
              <w:rPr>
                <w:rFonts w:ascii="Times New Roman" w:hAnsi="Times New Roman" w:cs="Times New Roman"/>
              </w:rPr>
              <w:t>35 year</w:t>
            </w:r>
            <w:r>
              <w:rPr>
                <w:rFonts w:ascii="Times New Roman" w:hAnsi="Times New Roman" w:cs="Times New Roman"/>
              </w:rPr>
              <w:t>s or less</w:t>
            </w:r>
          </w:p>
        </w:tc>
        <w:tc>
          <w:tcPr>
            <w:tcW w:w="1523" w:type="dxa"/>
          </w:tcPr>
          <w:p w14:paraId="224131D8" w14:textId="5ABF7008" w:rsidR="00AD307A" w:rsidRPr="00CC038A" w:rsidRDefault="00AD307A" w:rsidP="00AA6471">
            <w:pPr>
              <w:jc w:val="center"/>
              <w:rPr>
                <w:rFonts w:ascii="Times New Roman" w:hAnsi="Times New Roman" w:cs="Times New Roman"/>
              </w:rPr>
            </w:pPr>
            <w:r w:rsidRPr="00CC038A">
              <w:rPr>
                <w:rFonts w:ascii="Times New Roman" w:hAnsi="Times New Roman" w:cs="Times New Roman"/>
              </w:rPr>
              <w:t>5+ years of relevant experience with this type of facility</w:t>
            </w:r>
          </w:p>
        </w:tc>
        <w:tc>
          <w:tcPr>
            <w:tcW w:w="1674" w:type="dxa"/>
          </w:tcPr>
          <w:p w14:paraId="385ABF0F" w14:textId="62871057" w:rsidR="00AD307A" w:rsidRPr="00CC038A" w:rsidRDefault="00AD307A" w:rsidP="00AA6471">
            <w:pPr>
              <w:jc w:val="center"/>
              <w:rPr>
                <w:rFonts w:ascii="Times New Roman" w:hAnsi="Times New Roman" w:cs="Times New Roman"/>
              </w:rPr>
            </w:pPr>
            <w:r w:rsidRPr="00CC038A">
              <w:rPr>
                <w:rFonts w:ascii="Times New Roman" w:hAnsi="Times New Roman" w:cs="Times New Roman"/>
              </w:rPr>
              <w:t>80% LTV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</w:tcPr>
          <w:p w14:paraId="3A21F8F2" w14:textId="352C69BA" w:rsidR="00AD307A" w:rsidRPr="00CC038A" w:rsidRDefault="00AD307A" w:rsidP="00AA6471">
            <w:pPr>
              <w:jc w:val="center"/>
              <w:rPr>
                <w:rFonts w:ascii="Times New Roman" w:hAnsi="Times New Roman" w:cs="Times New Roman"/>
              </w:rPr>
            </w:pPr>
            <w:r w:rsidRPr="00CC038A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063" w:type="dxa"/>
          </w:tcPr>
          <w:p w14:paraId="25A0F44C" w14:textId="38DC27B2" w:rsidR="00AD307A" w:rsidRPr="00CC038A" w:rsidRDefault="00AD307A" w:rsidP="00AA6471">
            <w:pPr>
              <w:jc w:val="center"/>
              <w:rPr>
                <w:rFonts w:ascii="Times New Roman" w:hAnsi="Times New Roman" w:cs="Times New Roman"/>
              </w:rPr>
            </w:pPr>
            <w:r w:rsidRPr="00CC038A">
              <w:rPr>
                <w:rFonts w:ascii="Times New Roman" w:hAnsi="Times New Roman" w:cs="Times New Roman"/>
              </w:rPr>
              <w:t>No</w:t>
            </w:r>
          </w:p>
        </w:tc>
      </w:tr>
      <w:tr w:rsidR="00AD307A" w:rsidRPr="00CC038A" w14:paraId="5F20EEF0" w14:textId="1A35B695" w:rsidTr="00D855E7">
        <w:trPr>
          <w:jc w:val="center"/>
        </w:trPr>
        <w:tc>
          <w:tcPr>
            <w:tcW w:w="2425" w:type="dxa"/>
          </w:tcPr>
          <w:p w14:paraId="0604CAF2" w14:textId="4ED6E204" w:rsidR="00AD307A" w:rsidRPr="00AD307A" w:rsidRDefault="00AD307A" w:rsidP="00AA64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307A">
              <w:rPr>
                <w:rFonts w:ascii="Times New Roman" w:hAnsi="Times New Roman" w:cs="Times New Roman"/>
                <w:b/>
                <w:bCs/>
              </w:rPr>
              <w:t>SNF with regular license, but has MI/DD as a primary or secondary diagnosis (one wing/nominal part of the facility-Less than 20% of revenue)</w:t>
            </w:r>
          </w:p>
        </w:tc>
        <w:tc>
          <w:tcPr>
            <w:tcW w:w="1033" w:type="dxa"/>
          </w:tcPr>
          <w:p w14:paraId="00EA5CB1" w14:textId="4AD9D8E9" w:rsidR="00AD307A" w:rsidRPr="00CC038A" w:rsidRDefault="00AD307A" w:rsidP="00AA6471">
            <w:pPr>
              <w:jc w:val="center"/>
              <w:rPr>
                <w:rFonts w:ascii="Times New Roman" w:hAnsi="Times New Roman" w:cs="Times New Roman"/>
              </w:rPr>
            </w:pPr>
            <w:r w:rsidRPr="00CC038A">
              <w:rPr>
                <w:rFonts w:ascii="Times New Roman" w:hAnsi="Times New Roman" w:cs="Times New Roman"/>
              </w:rPr>
              <w:t>35 year</w:t>
            </w:r>
            <w:r>
              <w:rPr>
                <w:rFonts w:ascii="Times New Roman" w:hAnsi="Times New Roman" w:cs="Times New Roman"/>
              </w:rPr>
              <w:t>s or less</w:t>
            </w:r>
          </w:p>
        </w:tc>
        <w:tc>
          <w:tcPr>
            <w:tcW w:w="1523" w:type="dxa"/>
          </w:tcPr>
          <w:p w14:paraId="39F29D4F" w14:textId="772FC998" w:rsidR="00AD307A" w:rsidRPr="00CC038A" w:rsidRDefault="00AD307A" w:rsidP="00AA6471">
            <w:pPr>
              <w:jc w:val="center"/>
              <w:rPr>
                <w:rFonts w:ascii="Times New Roman" w:hAnsi="Times New Roman" w:cs="Times New Roman"/>
              </w:rPr>
            </w:pPr>
            <w:r w:rsidRPr="00CC038A">
              <w:rPr>
                <w:rFonts w:ascii="Times New Roman" w:hAnsi="Times New Roman" w:cs="Times New Roman"/>
              </w:rPr>
              <w:t>5+ years of relevant experience with this type of facility</w:t>
            </w:r>
          </w:p>
        </w:tc>
        <w:tc>
          <w:tcPr>
            <w:tcW w:w="1674" w:type="dxa"/>
          </w:tcPr>
          <w:p w14:paraId="24CCA10C" w14:textId="518E05FE" w:rsidR="00AD307A" w:rsidRPr="00CC038A" w:rsidRDefault="00AD307A" w:rsidP="00AA6471">
            <w:pPr>
              <w:jc w:val="center"/>
              <w:rPr>
                <w:rFonts w:ascii="Times New Roman" w:hAnsi="Times New Roman" w:cs="Times New Roman"/>
              </w:rPr>
            </w:pPr>
            <w:r w:rsidRPr="00CC038A">
              <w:rPr>
                <w:rFonts w:ascii="Times New Roman" w:hAnsi="Times New Roman" w:cs="Times New Roman"/>
              </w:rPr>
              <w:t>80% LTV</w:t>
            </w:r>
          </w:p>
        </w:tc>
        <w:tc>
          <w:tcPr>
            <w:tcW w:w="1890" w:type="dxa"/>
          </w:tcPr>
          <w:p w14:paraId="2B89C395" w14:textId="46AD5AD7" w:rsidR="00AD307A" w:rsidRPr="00CC038A" w:rsidRDefault="00AD307A" w:rsidP="00AA6471">
            <w:pPr>
              <w:jc w:val="center"/>
              <w:rPr>
                <w:rFonts w:ascii="Times New Roman" w:hAnsi="Times New Roman" w:cs="Times New Roman"/>
              </w:rPr>
            </w:pPr>
            <w:r w:rsidRPr="00CC038A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3" w:type="dxa"/>
          </w:tcPr>
          <w:p w14:paraId="620D0CB0" w14:textId="5FC5E72D" w:rsidR="00AD307A" w:rsidRPr="00CC038A" w:rsidRDefault="00AD307A" w:rsidP="00AA6471">
            <w:pPr>
              <w:jc w:val="center"/>
              <w:rPr>
                <w:rFonts w:ascii="Times New Roman" w:hAnsi="Times New Roman" w:cs="Times New Roman"/>
              </w:rPr>
            </w:pPr>
            <w:r w:rsidRPr="00CC038A">
              <w:rPr>
                <w:rFonts w:ascii="Times New Roman" w:hAnsi="Times New Roman" w:cs="Times New Roman"/>
              </w:rPr>
              <w:t>Yes</w:t>
            </w:r>
          </w:p>
        </w:tc>
      </w:tr>
      <w:tr w:rsidR="00AD307A" w:rsidRPr="00CC038A" w14:paraId="61B2D82E" w14:textId="7E9DC6BD" w:rsidTr="00D855E7">
        <w:trPr>
          <w:jc w:val="center"/>
        </w:trPr>
        <w:tc>
          <w:tcPr>
            <w:tcW w:w="2425" w:type="dxa"/>
          </w:tcPr>
          <w:p w14:paraId="0D7B55CA" w14:textId="37CB339E" w:rsidR="00AD307A" w:rsidRPr="00AD307A" w:rsidRDefault="00AD307A" w:rsidP="00AA64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307A">
              <w:rPr>
                <w:rFonts w:ascii="Times New Roman" w:hAnsi="Times New Roman" w:cs="Times New Roman"/>
                <w:b/>
                <w:bCs/>
              </w:rPr>
              <w:t>Drug and/or Alcohol Rehabilitation Facilities or Transitional Housing</w:t>
            </w:r>
          </w:p>
        </w:tc>
        <w:tc>
          <w:tcPr>
            <w:tcW w:w="1033" w:type="dxa"/>
          </w:tcPr>
          <w:p w14:paraId="4F96EFBD" w14:textId="25A811C3" w:rsidR="00AD307A" w:rsidRPr="00A073C2" w:rsidRDefault="00AD307A" w:rsidP="00AA64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73C2">
              <w:rPr>
                <w:rFonts w:ascii="Times New Roman" w:hAnsi="Times New Roman" w:cs="Times New Roman"/>
                <w:b/>
                <w:bCs/>
              </w:rPr>
              <w:t>Not Eligible</w:t>
            </w:r>
          </w:p>
        </w:tc>
        <w:tc>
          <w:tcPr>
            <w:tcW w:w="1523" w:type="dxa"/>
          </w:tcPr>
          <w:p w14:paraId="6C77F8D4" w14:textId="0CE3657F" w:rsidR="00AD307A" w:rsidRPr="00CC038A" w:rsidRDefault="00AD307A" w:rsidP="00AA6471">
            <w:pPr>
              <w:jc w:val="center"/>
              <w:rPr>
                <w:rFonts w:ascii="Times New Roman" w:hAnsi="Times New Roman" w:cs="Times New Roman"/>
              </w:rPr>
            </w:pPr>
            <w:r w:rsidRPr="00A073C2">
              <w:rPr>
                <w:rFonts w:ascii="Times New Roman" w:hAnsi="Times New Roman" w:cs="Times New Roman"/>
                <w:b/>
                <w:bCs/>
              </w:rPr>
              <w:t>Not Eligible</w:t>
            </w:r>
          </w:p>
        </w:tc>
        <w:tc>
          <w:tcPr>
            <w:tcW w:w="1674" w:type="dxa"/>
          </w:tcPr>
          <w:p w14:paraId="72BAE8CB" w14:textId="0AB97263" w:rsidR="00AD307A" w:rsidRPr="00CC038A" w:rsidRDefault="00AD307A" w:rsidP="00AA6471">
            <w:pPr>
              <w:jc w:val="center"/>
              <w:rPr>
                <w:rFonts w:ascii="Times New Roman" w:hAnsi="Times New Roman" w:cs="Times New Roman"/>
              </w:rPr>
            </w:pPr>
            <w:r w:rsidRPr="00A073C2">
              <w:rPr>
                <w:rFonts w:ascii="Times New Roman" w:hAnsi="Times New Roman" w:cs="Times New Roman"/>
                <w:b/>
                <w:bCs/>
              </w:rPr>
              <w:t>Not Eligible</w:t>
            </w:r>
          </w:p>
        </w:tc>
        <w:tc>
          <w:tcPr>
            <w:tcW w:w="1890" w:type="dxa"/>
          </w:tcPr>
          <w:p w14:paraId="5191CEAE" w14:textId="0765EAC1" w:rsidR="00AD307A" w:rsidRPr="00CC038A" w:rsidRDefault="00AD307A" w:rsidP="00AA6471">
            <w:pPr>
              <w:jc w:val="center"/>
              <w:rPr>
                <w:rFonts w:ascii="Times New Roman" w:hAnsi="Times New Roman" w:cs="Times New Roman"/>
              </w:rPr>
            </w:pPr>
            <w:r w:rsidRPr="00A073C2">
              <w:rPr>
                <w:rFonts w:ascii="Times New Roman" w:hAnsi="Times New Roman" w:cs="Times New Roman"/>
                <w:b/>
                <w:bCs/>
              </w:rPr>
              <w:t>Not Eligible</w:t>
            </w:r>
          </w:p>
        </w:tc>
        <w:tc>
          <w:tcPr>
            <w:tcW w:w="2063" w:type="dxa"/>
          </w:tcPr>
          <w:p w14:paraId="2E744DF2" w14:textId="6BEB96B9" w:rsidR="00AD307A" w:rsidRPr="00CC038A" w:rsidRDefault="00AD307A" w:rsidP="00AA6471">
            <w:pPr>
              <w:jc w:val="center"/>
              <w:rPr>
                <w:rFonts w:ascii="Times New Roman" w:hAnsi="Times New Roman" w:cs="Times New Roman"/>
              </w:rPr>
            </w:pPr>
            <w:r w:rsidRPr="00A073C2">
              <w:rPr>
                <w:rFonts w:ascii="Times New Roman" w:hAnsi="Times New Roman" w:cs="Times New Roman"/>
                <w:b/>
                <w:bCs/>
              </w:rPr>
              <w:t>Not Eligible</w:t>
            </w:r>
          </w:p>
        </w:tc>
      </w:tr>
    </w:tbl>
    <w:p w14:paraId="28165123" w14:textId="77777777" w:rsidR="00EF7B7F" w:rsidRDefault="00EF7B7F" w:rsidP="00EF7B7F">
      <w:pPr>
        <w:pStyle w:val="Default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457D804" w14:textId="175EBA1B" w:rsidR="00EF7B7F" w:rsidRPr="00D855E7" w:rsidRDefault="00EF7B7F" w:rsidP="00EF7B7F">
      <w:pPr>
        <w:pStyle w:val="Default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855E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The lender should contact </w:t>
      </w:r>
      <w:hyperlink r:id="rId11" w:history="1">
        <w:r w:rsidRPr="00D855E7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LeanThinking@hud.gov</w:t>
        </w:r>
      </w:hyperlink>
      <w:r w:rsidRPr="00D855E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with a summary of the project in advance of application submission to confirm the proposed application meets program requirements.</w:t>
      </w:r>
    </w:p>
    <w:p w14:paraId="31C5982C" w14:textId="77777777" w:rsidR="006B0341" w:rsidRDefault="006B0341" w:rsidP="00E00A1C">
      <w:pPr>
        <w:pStyle w:val="ListParagraph"/>
        <w:spacing w:after="0" w:line="240" w:lineRule="auto"/>
        <w:ind w:left="450" w:right="72"/>
        <w:rPr>
          <w:rFonts w:ascii="Times New Roman" w:hAnsi="Times New Roman" w:cs="Times New Roman"/>
          <w:b/>
          <w:bCs/>
          <w:spacing w:val="-4"/>
        </w:rPr>
      </w:pPr>
    </w:p>
    <w:p w14:paraId="14B32603" w14:textId="4BFFDCC7" w:rsidR="00BC70E3" w:rsidRPr="00D855E7" w:rsidRDefault="006F36A9" w:rsidP="00E00A1C">
      <w:pPr>
        <w:pStyle w:val="ListParagraph"/>
        <w:spacing w:after="0" w:line="240" w:lineRule="auto"/>
        <w:ind w:left="450" w:right="72"/>
        <w:rPr>
          <w:rFonts w:ascii="Times New Roman" w:hAnsi="Times New Roman" w:cs="Times New Roman"/>
          <w:b/>
          <w:bCs/>
          <w:spacing w:val="-4"/>
        </w:rPr>
      </w:pPr>
      <w:r w:rsidRPr="00D855E7">
        <w:rPr>
          <w:rFonts w:ascii="Times New Roman" w:hAnsi="Times New Roman" w:cs="Times New Roman"/>
          <w:b/>
          <w:bCs/>
          <w:spacing w:val="-4"/>
        </w:rPr>
        <w:t xml:space="preserve">Examples of </w:t>
      </w:r>
      <w:r w:rsidR="00BC70E3" w:rsidRPr="00D855E7">
        <w:rPr>
          <w:rFonts w:ascii="Times New Roman" w:hAnsi="Times New Roman" w:cs="Times New Roman"/>
          <w:b/>
          <w:bCs/>
          <w:spacing w:val="-4"/>
        </w:rPr>
        <w:t xml:space="preserve">Types of Special Use Populations </w:t>
      </w:r>
      <w:r w:rsidRPr="00D855E7">
        <w:rPr>
          <w:rFonts w:ascii="Times New Roman" w:hAnsi="Times New Roman" w:cs="Times New Roman"/>
          <w:b/>
          <w:bCs/>
          <w:spacing w:val="-4"/>
        </w:rPr>
        <w:t>are</w:t>
      </w:r>
      <w:r w:rsidR="00BC70E3" w:rsidRPr="00D855E7">
        <w:rPr>
          <w:rFonts w:ascii="Times New Roman" w:hAnsi="Times New Roman" w:cs="Times New Roman"/>
          <w:b/>
          <w:bCs/>
          <w:spacing w:val="-4"/>
        </w:rPr>
        <w:t>:</w:t>
      </w:r>
    </w:p>
    <w:p w14:paraId="5F0AE674" w14:textId="77777777" w:rsidR="00213B37" w:rsidRPr="00D855E7" w:rsidRDefault="00213B37" w:rsidP="006F36A9">
      <w:pPr>
        <w:pStyle w:val="Default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D855E7">
        <w:rPr>
          <w:rFonts w:ascii="Times New Roman" w:eastAsia="Times New Roman" w:hAnsi="Times New Roman" w:cs="Times New Roman"/>
          <w:sz w:val="22"/>
          <w:szCs w:val="22"/>
        </w:rPr>
        <w:t>Behavioral Health</w:t>
      </w:r>
    </w:p>
    <w:p w14:paraId="4037D25F" w14:textId="77777777" w:rsidR="00213B37" w:rsidRPr="00D855E7" w:rsidRDefault="00213B37" w:rsidP="006F36A9">
      <w:pPr>
        <w:pStyle w:val="Default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D855E7">
        <w:rPr>
          <w:rFonts w:ascii="Times New Roman" w:eastAsia="Times New Roman" w:hAnsi="Times New Roman" w:cs="Times New Roman"/>
          <w:sz w:val="22"/>
          <w:szCs w:val="22"/>
        </w:rPr>
        <w:t xml:space="preserve">Mentally Ill </w:t>
      </w:r>
    </w:p>
    <w:p w14:paraId="388E655F" w14:textId="77777777" w:rsidR="00213B37" w:rsidRPr="00D855E7" w:rsidRDefault="00213B37" w:rsidP="006F36A9">
      <w:pPr>
        <w:pStyle w:val="Default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D855E7">
        <w:rPr>
          <w:rFonts w:ascii="Times New Roman" w:eastAsia="Times New Roman" w:hAnsi="Times New Roman" w:cs="Times New Roman"/>
          <w:sz w:val="22"/>
          <w:szCs w:val="22"/>
        </w:rPr>
        <w:t>Bariatric Residents</w:t>
      </w:r>
    </w:p>
    <w:p w14:paraId="5C545C36" w14:textId="77777777" w:rsidR="00213B37" w:rsidRPr="00D855E7" w:rsidRDefault="00213B37" w:rsidP="006F36A9">
      <w:pPr>
        <w:pStyle w:val="Default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D855E7">
        <w:rPr>
          <w:rFonts w:ascii="Times New Roman" w:eastAsia="Times New Roman" w:hAnsi="Times New Roman" w:cs="Times New Roman"/>
          <w:sz w:val="22"/>
          <w:szCs w:val="22"/>
        </w:rPr>
        <w:t>Residents aged 21-65 requiring specialized treatment of serious mental illness (excluding dementia and intellectual/developmental disabilities)</w:t>
      </w:r>
    </w:p>
    <w:p w14:paraId="40BCEAEB" w14:textId="77777777" w:rsidR="00BC70E3" w:rsidRPr="00D855E7" w:rsidRDefault="00BC70E3" w:rsidP="00E00A1C">
      <w:pPr>
        <w:pStyle w:val="ListParagraph"/>
        <w:spacing w:after="0" w:line="240" w:lineRule="auto"/>
        <w:ind w:left="450" w:right="72"/>
        <w:rPr>
          <w:rFonts w:ascii="Times New Roman" w:hAnsi="Times New Roman" w:cs="Times New Roman"/>
          <w:b/>
          <w:bCs/>
          <w:spacing w:val="-4"/>
        </w:rPr>
      </w:pPr>
    </w:p>
    <w:p w14:paraId="08ACFFB6" w14:textId="37C5F7B7" w:rsidR="00E00A1C" w:rsidRPr="00D855E7" w:rsidRDefault="00165103" w:rsidP="00E00A1C">
      <w:pPr>
        <w:pStyle w:val="ListParagraph"/>
        <w:spacing w:after="0" w:line="240" w:lineRule="auto"/>
        <w:ind w:left="450" w:right="72"/>
        <w:rPr>
          <w:rFonts w:ascii="Times New Roman" w:hAnsi="Times New Roman" w:cs="Times New Roman"/>
          <w:b/>
          <w:bCs/>
          <w:spacing w:val="-4"/>
        </w:rPr>
      </w:pPr>
      <w:r w:rsidRPr="00D855E7">
        <w:rPr>
          <w:rFonts w:ascii="Times New Roman" w:hAnsi="Times New Roman" w:cs="Times New Roman"/>
          <w:b/>
          <w:bCs/>
          <w:spacing w:val="-4"/>
        </w:rPr>
        <w:t xml:space="preserve">Lenders should </w:t>
      </w:r>
      <w:r w:rsidR="007211D5" w:rsidRPr="00D855E7">
        <w:rPr>
          <w:rFonts w:ascii="Times New Roman" w:hAnsi="Times New Roman" w:cs="Times New Roman"/>
          <w:b/>
          <w:bCs/>
          <w:spacing w:val="-4"/>
        </w:rPr>
        <w:t>address</w:t>
      </w:r>
      <w:r w:rsidRPr="00D855E7">
        <w:rPr>
          <w:rFonts w:ascii="Times New Roman" w:hAnsi="Times New Roman" w:cs="Times New Roman"/>
          <w:b/>
          <w:bCs/>
          <w:spacing w:val="-4"/>
        </w:rPr>
        <w:t xml:space="preserve"> the follow</w:t>
      </w:r>
      <w:r w:rsidR="007211D5" w:rsidRPr="00D855E7">
        <w:rPr>
          <w:rFonts w:ascii="Times New Roman" w:hAnsi="Times New Roman" w:cs="Times New Roman"/>
          <w:b/>
          <w:bCs/>
          <w:spacing w:val="-4"/>
        </w:rPr>
        <w:t>ing</w:t>
      </w:r>
      <w:r w:rsidRPr="00D855E7">
        <w:rPr>
          <w:rFonts w:ascii="Times New Roman" w:hAnsi="Times New Roman" w:cs="Times New Roman"/>
          <w:b/>
          <w:bCs/>
          <w:spacing w:val="-4"/>
        </w:rPr>
        <w:t xml:space="preserve"> </w:t>
      </w:r>
      <w:r w:rsidR="007211D5" w:rsidRPr="00D855E7">
        <w:rPr>
          <w:rFonts w:ascii="Times New Roman" w:hAnsi="Times New Roman" w:cs="Times New Roman"/>
          <w:b/>
          <w:bCs/>
          <w:spacing w:val="-4"/>
        </w:rPr>
        <w:t>in their analysis of Special Use Facilities</w:t>
      </w:r>
      <w:r w:rsidR="00E00A1C" w:rsidRPr="00D855E7">
        <w:rPr>
          <w:rFonts w:ascii="Times New Roman" w:hAnsi="Times New Roman" w:cs="Times New Roman"/>
          <w:b/>
          <w:bCs/>
          <w:spacing w:val="-4"/>
        </w:rPr>
        <w:t>:</w:t>
      </w:r>
    </w:p>
    <w:p w14:paraId="6FDA927A" w14:textId="77777777" w:rsidR="00E00A1C" w:rsidRPr="00D855E7" w:rsidRDefault="00E00A1C" w:rsidP="00E00A1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17F27A9" w14:textId="5E93E940" w:rsidR="007211D5" w:rsidRPr="00D855E7" w:rsidRDefault="007211D5" w:rsidP="00E00A1C">
      <w:pPr>
        <w:pStyle w:val="Default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D855E7">
        <w:rPr>
          <w:rFonts w:ascii="Times New Roman" w:eastAsia="Times New Roman" w:hAnsi="Times New Roman" w:cs="Times New Roman"/>
          <w:sz w:val="22"/>
          <w:szCs w:val="22"/>
        </w:rPr>
        <w:t>Experience of the Participants</w:t>
      </w:r>
      <w:r w:rsidR="00E90FC2" w:rsidRPr="00D855E7">
        <w:rPr>
          <w:rFonts w:ascii="Times New Roman" w:eastAsia="Times New Roman" w:hAnsi="Times New Roman" w:cs="Times New Roman"/>
          <w:sz w:val="22"/>
          <w:szCs w:val="22"/>
        </w:rPr>
        <w:t xml:space="preserve"> with this type of facility and population.  Given the increased risk of Special Use Facilities, the expectation is that participants have experience well above minimum th</w:t>
      </w:r>
      <w:r w:rsidR="007E7B5A" w:rsidRPr="00D855E7">
        <w:rPr>
          <w:rFonts w:ascii="Times New Roman" w:eastAsia="Times New Roman" w:hAnsi="Times New Roman" w:cs="Times New Roman"/>
          <w:sz w:val="22"/>
          <w:szCs w:val="22"/>
        </w:rPr>
        <w:t>reshold</w:t>
      </w:r>
      <w:r w:rsidR="00EC7D4A">
        <w:rPr>
          <w:rFonts w:ascii="Times New Roman" w:eastAsia="Times New Roman" w:hAnsi="Times New Roman" w:cs="Times New Roman"/>
          <w:sz w:val="22"/>
          <w:szCs w:val="22"/>
        </w:rPr>
        <w:t xml:space="preserve"> of three years</w:t>
      </w:r>
      <w:r w:rsidR="00E90FC2" w:rsidRPr="00D855E7">
        <w:rPr>
          <w:rFonts w:ascii="Times New Roman" w:eastAsia="Times New Roman" w:hAnsi="Times New Roman" w:cs="Times New Roman"/>
          <w:sz w:val="22"/>
          <w:szCs w:val="22"/>
        </w:rPr>
        <w:t>.</w:t>
      </w:r>
      <w:r w:rsidR="005B48A8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="00D30824" w:rsidRPr="00D30824">
        <w:rPr>
          <w:rFonts w:ascii="Times New Roman" w:eastAsia="Times New Roman" w:hAnsi="Times New Roman" w:cs="Times New Roman"/>
          <w:sz w:val="22"/>
          <w:szCs w:val="22"/>
        </w:rPr>
        <w:t>The discussion should speak not only to the extent/duration of experience but also to the successfulness of the experience in terms of operations (particularly resident care) and financial performance</w:t>
      </w:r>
      <w:r w:rsidR="0093696A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11A726B" w14:textId="77777777" w:rsidR="00E90FC2" w:rsidRPr="00D855E7" w:rsidRDefault="00E90FC2" w:rsidP="009011DD">
      <w:pPr>
        <w:pStyle w:val="Default"/>
        <w:rPr>
          <w:rFonts w:ascii="Times New Roman" w:eastAsia="Times New Roman" w:hAnsi="Times New Roman" w:cs="Times New Roman"/>
          <w:sz w:val="22"/>
          <w:szCs w:val="22"/>
        </w:rPr>
      </w:pPr>
    </w:p>
    <w:p w14:paraId="2F32365A" w14:textId="51F4716D" w:rsidR="00E00A1C" w:rsidRPr="00B9703A" w:rsidRDefault="007211D5" w:rsidP="00E00A1C">
      <w:pPr>
        <w:pStyle w:val="Default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B9703A">
        <w:rPr>
          <w:rFonts w:ascii="Times New Roman" w:eastAsia="Times New Roman" w:hAnsi="Times New Roman" w:cs="Times New Roman"/>
          <w:sz w:val="22"/>
          <w:szCs w:val="22"/>
        </w:rPr>
        <w:t>R</w:t>
      </w:r>
      <w:r w:rsidR="00E00A1C" w:rsidRPr="00B9703A">
        <w:rPr>
          <w:rFonts w:ascii="Times New Roman" w:eastAsia="Times New Roman" w:hAnsi="Times New Roman" w:cs="Times New Roman"/>
          <w:sz w:val="22"/>
          <w:szCs w:val="22"/>
        </w:rPr>
        <w:t>eimbursement risk and the stability of the ongoing operating funding source(s)</w:t>
      </w:r>
      <w:r w:rsidR="00A83F8D" w:rsidRPr="00B9703A">
        <w:rPr>
          <w:rFonts w:ascii="Times New Roman" w:eastAsia="Times New Roman" w:hAnsi="Times New Roman" w:cs="Times New Roman"/>
          <w:sz w:val="22"/>
          <w:szCs w:val="22"/>
        </w:rPr>
        <w:t xml:space="preserve"> and how this will be sustainable for the life of the loan</w:t>
      </w:r>
      <w:r w:rsidR="00E00A1C" w:rsidRPr="00B9703A">
        <w:rPr>
          <w:rFonts w:ascii="Times New Roman" w:eastAsia="Times New Roman" w:hAnsi="Times New Roman" w:cs="Times New Roman"/>
          <w:sz w:val="22"/>
          <w:szCs w:val="22"/>
        </w:rPr>
        <w:t xml:space="preserve">.  </w:t>
      </w:r>
    </w:p>
    <w:p w14:paraId="345BE10E" w14:textId="77777777" w:rsidR="00E00A1C" w:rsidRPr="00D855E7" w:rsidRDefault="00E00A1C" w:rsidP="00E00A1C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14:paraId="43D59F11" w14:textId="76983EA1" w:rsidR="00E00A1C" w:rsidRPr="00D855E7" w:rsidRDefault="007211D5" w:rsidP="00E00A1C">
      <w:pPr>
        <w:pStyle w:val="Default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D855E7">
        <w:rPr>
          <w:rFonts w:ascii="Times New Roman" w:eastAsia="Times New Roman" w:hAnsi="Times New Roman" w:cs="Times New Roman"/>
          <w:sz w:val="22"/>
          <w:szCs w:val="22"/>
        </w:rPr>
        <w:t>H</w:t>
      </w:r>
      <w:r w:rsidR="00E00A1C" w:rsidRPr="00D855E7">
        <w:rPr>
          <w:rFonts w:ascii="Times New Roman" w:eastAsia="Times New Roman" w:hAnsi="Times New Roman" w:cs="Times New Roman"/>
          <w:sz w:val="22"/>
          <w:szCs w:val="22"/>
        </w:rPr>
        <w:t>ow the principals of the project address the higher risks of the project associated with the targeted population (e.g., higher Professional Liability Insurance, etc.)</w:t>
      </w:r>
      <w:r w:rsidR="002D6EE7" w:rsidRPr="00D855E7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5971177" w14:textId="77777777" w:rsidR="00E00A1C" w:rsidRPr="00D855E7" w:rsidRDefault="00E00A1C" w:rsidP="00E00A1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F85E3A2" w14:textId="77777777" w:rsidR="00E00A1C" w:rsidRPr="00D855E7" w:rsidRDefault="00E00A1C" w:rsidP="00E00A1C">
      <w:pPr>
        <w:pStyle w:val="Default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D855E7">
        <w:rPr>
          <w:rFonts w:ascii="Times New Roman" w:eastAsia="Times New Roman" w:hAnsi="Times New Roman" w:cs="Times New Roman"/>
          <w:sz w:val="22"/>
          <w:szCs w:val="22"/>
        </w:rPr>
        <w:t>Funding/operational risks related to:</w:t>
      </w:r>
    </w:p>
    <w:p w14:paraId="4E7AC326" w14:textId="3C3A6E16" w:rsidR="00E00A1C" w:rsidRPr="00D855E7" w:rsidRDefault="00E00A1C" w:rsidP="00E00A1C">
      <w:pPr>
        <w:pStyle w:val="Default"/>
        <w:numPr>
          <w:ilvl w:val="1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D855E7">
        <w:rPr>
          <w:rFonts w:ascii="Times New Roman" w:eastAsia="Times New Roman" w:hAnsi="Times New Roman" w:cs="Times New Roman"/>
          <w:sz w:val="22"/>
          <w:szCs w:val="22"/>
        </w:rPr>
        <w:t>continuing efforts to comply with the 1999 U.S. Supreme Court’s Olmstead decision emphasizing that persons with disabilities receive services in the most integrated setting appropriate</w:t>
      </w:r>
      <w:r w:rsidR="002D6EE7" w:rsidRPr="00D855E7"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569D680A" w14:textId="77777777" w:rsidR="00E00A1C" w:rsidRPr="00D855E7" w:rsidRDefault="00E00A1C" w:rsidP="00E00A1C">
      <w:pPr>
        <w:pStyle w:val="Default"/>
        <w:numPr>
          <w:ilvl w:val="1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D855E7">
        <w:rPr>
          <w:rFonts w:ascii="Times New Roman" w:eastAsia="Times New Roman" w:hAnsi="Times New Roman" w:cs="Times New Roman"/>
          <w:sz w:val="22"/>
          <w:szCs w:val="22"/>
        </w:rPr>
        <w:t xml:space="preserve">state initiatives to re-balance Medicaid funding toward home and community-based services, including the impact of the Center for Medicare and Medicaid Services regulatory requirements regarding home and community-based settings, and </w:t>
      </w:r>
    </w:p>
    <w:p w14:paraId="01BCC260" w14:textId="42483DE0" w:rsidR="00DC2A85" w:rsidRDefault="00E00A1C" w:rsidP="00DC2A85">
      <w:pPr>
        <w:pStyle w:val="Default"/>
        <w:numPr>
          <w:ilvl w:val="1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D855E7">
        <w:rPr>
          <w:rFonts w:ascii="Times New Roman" w:eastAsia="Times New Roman" w:hAnsi="Times New Roman" w:cs="Times New Roman"/>
          <w:sz w:val="22"/>
          <w:szCs w:val="22"/>
        </w:rPr>
        <w:t>other relevant Medicaid funding threats within the State</w:t>
      </w:r>
    </w:p>
    <w:p w14:paraId="550C7CF6" w14:textId="77777777" w:rsidR="00BC3862" w:rsidRDefault="00BC3862" w:rsidP="00BC3862">
      <w:pPr>
        <w:pStyle w:val="Default"/>
        <w:ind w:left="1800"/>
        <w:rPr>
          <w:rFonts w:ascii="Times New Roman" w:eastAsia="Times New Roman" w:hAnsi="Times New Roman" w:cs="Times New Roman"/>
          <w:sz w:val="22"/>
          <w:szCs w:val="22"/>
        </w:rPr>
      </w:pPr>
    </w:p>
    <w:p w14:paraId="25E1ACD8" w14:textId="3520E73A" w:rsidR="00E00A1C" w:rsidRPr="009D2A47" w:rsidRDefault="009D2A47" w:rsidP="009D2A47">
      <w:pPr>
        <w:pStyle w:val="Default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9D2A47">
        <w:rPr>
          <w:rFonts w:ascii="Times New Roman" w:eastAsia="Times New Roman" w:hAnsi="Times New Roman" w:cs="Times New Roman"/>
          <w:sz w:val="22"/>
          <w:szCs w:val="22"/>
        </w:rPr>
        <w:t>The appraisal is to include a cost approach and include a discussion comparing the cost to build and value conclusion, from the point of view of a potential buyer.</w:t>
      </w:r>
    </w:p>
    <w:p w14:paraId="7055E6CC" w14:textId="77777777" w:rsidR="009D2A47" w:rsidRPr="00D855E7" w:rsidRDefault="009D2A47" w:rsidP="009D2A47">
      <w:pPr>
        <w:pStyle w:val="Default"/>
        <w:rPr>
          <w:rFonts w:ascii="Times New Roman" w:eastAsia="Times New Roman" w:hAnsi="Times New Roman" w:cs="Times New Roman"/>
          <w:sz w:val="22"/>
          <w:szCs w:val="22"/>
        </w:rPr>
      </w:pPr>
    </w:p>
    <w:p w14:paraId="1CB2C9D8" w14:textId="77777777" w:rsidR="00BD14A4" w:rsidRDefault="00BD14A4" w:rsidP="00E70F60">
      <w:pPr>
        <w:pStyle w:val="Default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8FAB22A" w14:textId="77777777" w:rsidR="00BD14A4" w:rsidRDefault="00BD14A4" w:rsidP="00E70F60">
      <w:pPr>
        <w:pStyle w:val="Default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7A6308E" w14:textId="77777777" w:rsidR="00BD14A4" w:rsidRDefault="00BD14A4" w:rsidP="00E70F60">
      <w:pPr>
        <w:pStyle w:val="Default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DE9CB03" w14:textId="77777777" w:rsidR="00BD14A4" w:rsidRDefault="00BD14A4" w:rsidP="00E70F60">
      <w:pPr>
        <w:pStyle w:val="Default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DB0AEE9" w14:textId="1DA1A954" w:rsidR="00E00A1C" w:rsidRPr="00DA6696" w:rsidRDefault="00E00A1C" w:rsidP="00E70F60">
      <w:pPr>
        <w:pStyle w:val="Default"/>
        <w:rPr>
          <w:rFonts w:ascii="Times New Roman" w:eastAsia="Times New Roman" w:hAnsi="Times New Roman" w:cs="Times New Roman"/>
          <w:b/>
          <w:bCs/>
        </w:rPr>
      </w:pPr>
      <w:r w:rsidRPr="00DA6696">
        <w:rPr>
          <w:rFonts w:ascii="Times New Roman" w:eastAsia="Times New Roman" w:hAnsi="Times New Roman" w:cs="Times New Roman"/>
          <w:b/>
          <w:bCs/>
        </w:rPr>
        <w:lastRenderedPageBreak/>
        <w:t xml:space="preserve">The lender </w:t>
      </w:r>
      <w:r w:rsidR="003E22F2" w:rsidRPr="00DA6696">
        <w:rPr>
          <w:rFonts w:ascii="Times New Roman" w:eastAsia="Times New Roman" w:hAnsi="Times New Roman" w:cs="Times New Roman"/>
          <w:b/>
          <w:bCs/>
        </w:rPr>
        <w:t>should</w:t>
      </w:r>
      <w:r w:rsidRPr="00DA6696">
        <w:rPr>
          <w:rFonts w:ascii="Times New Roman" w:eastAsia="Times New Roman" w:hAnsi="Times New Roman" w:cs="Times New Roman"/>
          <w:b/>
          <w:bCs/>
        </w:rPr>
        <w:t xml:space="preserve"> contact </w:t>
      </w:r>
      <w:hyperlink r:id="rId12" w:history="1">
        <w:r w:rsidR="0033025D" w:rsidRPr="00DA6696">
          <w:rPr>
            <w:rStyle w:val="Hyperlink"/>
            <w:rFonts w:ascii="Times New Roman" w:hAnsi="Times New Roman" w:cs="Times New Roman"/>
            <w:b/>
            <w:bCs/>
          </w:rPr>
          <w:t>LeanThinking@hud.gov</w:t>
        </w:r>
      </w:hyperlink>
      <w:r w:rsidRPr="00DA6696">
        <w:rPr>
          <w:rFonts w:ascii="Times New Roman" w:eastAsia="Times New Roman" w:hAnsi="Times New Roman" w:cs="Times New Roman"/>
          <w:b/>
          <w:bCs/>
        </w:rPr>
        <w:t xml:space="preserve"> with a summary of the project in advance of application submission</w:t>
      </w:r>
      <w:r w:rsidR="00E36C83" w:rsidRPr="00DA6696">
        <w:rPr>
          <w:rFonts w:ascii="Times New Roman" w:eastAsia="Times New Roman" w:hAnsi="Times New Roman" w:cs="Times New Roman"/>
          <w:b/>
          <w:bCs/>
        </w:rPr>
        <w:t xml:space="preserve"> addressing the above factors</w:t>
      </w:r>
      <w:r w:rsidRPr="00DA6696">
        <w:rPr>
          <w:rFonts w:ascii="Times New Roman" w:eastAsia="Times New Roman" w:hAnsi="Times New Roman" w:cs="Times New Roman"/>
          <w:b/>
          <w:bCs/>
        </w:rPr>
        <w:t xml:space="preserve"> to confirm the proposed application meets program requirements.</w:t>
      </w:r>
    </w:p>
    <w:p w14:paraId="7D03F852" w14:textId="77777777" w:rsidR="00BD14A4" w:rsidRPr="00BD14A4" w:rsidRDefault="00BD14A4" w:rsidP="00BD14A4">
      <w:pPr>
        <w:pStyle w:val="Default"/>
        <w:rPr>
          <w:rFonts w:ascii="Times New Roman" w:eastAsia="Times New Roman" w:hAnsi="Times New Roman" w:cs="Times New Roman"/>
          <w:b/>
          <w:bCs/>
        </w:rPr>
      </w:pPr>
    </w:p>
    <w:p w14:paraId="1C5A6CA2" w14:textId="6C04455F" w:rsidR="00BD14A4" w:rsidRPr="00BD14A4" w:rsidRDefault="00BD14A4" w:rsidP="00BD14A4">
      <w:pPr>
        <w:pStyle w:val="Default"/>
        <w:rPr>
          <w:rFonts w:ascii="Times New Roman" w:eastAsia="Times New Roman" w:hAnsi="Times New Roman" w:cs="Times New Roman"/>
          <w:b/>
          <w:bCs/>
        </w:rPr>
      </w:pPr>
      <w:r w:rsidRPr="00DA6696">
        <w:rPr>
          <w:rFonts w:ascii="Times New Roman" w:eastAsia="Times New Roman" w:hAnsi="Times New Roman" w:cs="Times New Roman"/>
          <w:b/>
          <w:bCs/>
          <w:u w:val="single"/>
        </w:rPr>
        <w:t xml:space="preserve">Below is the information the lender should </w:t>
      </w:r>
      <w:r w:rsidR="00D64E67" w:rsidRPr="00DA6696">
        <w:rPr>
          <w:rFonts w:ascii="Times New Roman" w:eastAsia="Times New Roman" w:hAnsi="Times New Roman" w:cs="Times New Roman"/>
          <w:b/>
          <w:bCs/>
          <w:u w:val="single"/>
        </w:rPr>
        <w:t>discuss</w:t>
      </w:r>
      <w:r w:rsidRPr="00DA6696">
        <w:rPr>
          <w:rFonts w:ascii="Times New Roman" w:eastAsia="Times New Roman" w:hAnsi="Times New Roman" w:cs="Times New Roman"/>
          <w:b/>
          <w:bCs/>
          <w:u w:val="single"/>
        </w:rPr>
        <w:t xml:space="preserve"> in the </w:t>
      </w:r>
      <w:proofErr w:type="spellStart"/>
      <w:r w:rsidRPr="00DA6696">
        <w:rPr>
          <w:rFonts w:ascii="Times New Roman" w:eastAsia="Times New Roman" w:hAnsi="Times New Roman" w:cs="Times New Roman"/>
          <w:b/>
          <w:bCs/>
          <w:u w:val="single"/>
        </w:rPr>
        <w:t>LeanThinking</w:t>
      </w:r>
      <w:proofErr w:type="spellEnd"/>
      <w:r w:rsidRPr="00DA6696">
        <w:rPr>
          <w:rFonts w:ascii="Times New Roman" w:eastAsia="Times New Roman" w:hAnsi="Times New Roman" w:cs="Times New Roman"/>
          <w:b/>
          <w:bCs/>
          <w:u w:val="single"/>
        </w:rPr>
        <w:t xml:space="preserve"> Request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14:paraId="54064CA8" w14:textId="77777777" w:rsidR="00BD14A4" w:rsidRPr="00BD14A4" w:rsidRDefault="00BD14A4" w:rsidP="00BD14A4">
      <w:pPr>
        <w:pStyle w:val="Default"/>
        <w:rPr>
          <w:rFonts w:ascii="Times New Roman" w:eastAsia="Times New Roman" w:hAnsi="Times New Roman" w:cs="Times New Roman"/>
          <w:b/>
          <w:bCs/>
        </w:rPr>
      </w:pPr>
    </w:p>
    <w:p w14:paraId="10B79FA7" w14:textId="77777777" w:rsidR="00BD14A4" w:rsidRPr="00BD14A4" w:rsidRDefault="00BD14A4" w:rsidP="00BD14A4">
      <w:pPr>
        <w:pStyle w:val="Default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BD14A4">
        <w:rPr>
          <w:rFonts w:ascii="Times New Roman" w:eastAsia="Times New Roman" w:hAnsi="Times New Roman" w:cs="Times New Roman"/>
        </w:rPr>
        <w:t>Name and Address of Project</w:t>
      </w:r>
    </w:p>
    <w:p w14:paraId="6F747C3E" w14:textId="77777777" w:rsidR="00BD14A4" w:rsidRPr="00BD14A4" w:rsidRDefault="00BD14A4" w:rsidP="00BD14A4">
      <w:pPr>
        <w:pStyle w:val="Default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BD14A4">
        <w:rPr>
          <w:rFonts w:ascii="Times New Roman" w:eastAsia="Times New Roman" w:hAnsi="Times New Roman" w:cs="Times New Roman"/>
        </w:rPr>
        <w:t>How Long have they owned/operated the project</w:t>
      </w:r>
    </w:p>
    <w:p w14:paraId="62CF47AA" w14:textId="77777777" w:rsidR="00BD14A4" w:rsidRPr="00BD14A4" w:rsidRDefault="00BD14A4" w:rsidP="00BD14A4">
      <w:pPr>
        <w:pStyle w:val="Default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BD14A4">
        <w:rPr>
          <w:rFonts w:ascii="Times New Roman" w:eastAsia="Times New Roman" w:hAnsi="Times New Roman" w:cs="Times New Roman"/>
        </w:rPr>
        <w:t>Proposed LTV and Loan Term (estimated)</w:t>
      </w:r>
    </w:p>
    <w:p w14:paraId="44FD2963" w14:textId="77777777" w:rsidR="00BD14A4" w:rsidRPr="00BD14A4" w:rsidRDefault="00BD14A4" w:rsidP="00BD14A4">
      <w:pPr>
        <w:pStyle w:val="Default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BD14A4">
        <w:rPr>
          <w:rFonts w:ascii="Times New Roman" w:eastAsia="Times New Roman" w:hAnsi="Times New Roman" w:cs="Times New Roman"/>
        </w:rPr>
        <w:t>Star Ratings/Survey History (discuss G+ tags, particularly any related to the special use population)</w:t>
      </w:r>
    </w:p>
    <w:p w14:paraId="3F2992A2" w14:textId="77777777" w:rsidR="00BD14A4" w:rsidRPr="00BD14A4" w:rsidRDefault="00BD14A4" w:rsidP="00BD14A4">
      <w:pPr>
        <w:pStyle w:val="Default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BD14A4">
        <w:rPr>
          <w:rFonts w:ascii="Times New Roman" w:eastAsia="Times New Roman" w:hAnsi="Times New Roman" w:cs="Times New Roman"/>
        </w:rPr>
        <w:t>Type of License(s)</w:t>
      </w:r>
    </w:p>
    <w:p w14:paraId="38EB1842" w14:textId="77777777" w:rsidR="00BD14A4" w:rsidRPr="00BD14A4" w:rsidRDefault="00BD14A4" w:rsidP="00BD14A4">
      <w:pPr>
        <w:pStyle w:val="Default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BD14A4">
        <w:rPr>
          <w:rFonts w:ascii="Times New Roman" w:eastAsia="Times New Roman" w:hAnsi="Times New Roman" w:cs="Times New Roman"/>
        </w:rPr>
        <w:t>Resident Population (discuss diagnoses of residents, services offered, etc.)  For behavioral, distinguish between primary and secondary MI treatment needs and % of residents under age 65).</w:t>
      </w:r>
    </w:p>
    <w:p w14:paraId="2E0E79CA" w14:textId="77777777" w:rsidR="00BD14A4" w:rsidRPr="00BD14A4" w:rsidRDefault="00BD14A4" w:rsidP="00BD14A4">
      <w:pPr>
        <w:pStyle w:val="Default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BD14A4">
        <w:rPr>
          <w:rFonts w:ascii="Times New Roman" w:eastAsia="Times New Roman" w:hAnsi="Times New Roman" w:cs="Times New Roman"/>
        </w:rPr>
        <w:t xml:space="preserve">Reimbursement/Payors (including rate adjustments and source limitations tied to the special use)   </w:t>
      </w:r>
    </w:p>
    <w:p w14:paraId="7C62FDBD" w14:textId="77777777" w:rsidR="00BD14A4" w:rsidRPr="00BD14A4" w:rsidRDefault="00BD14A4" w:rsidP="00BD14A4">
      <w:pPr>
        <w:pStyle w:val="Default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BD14A4">
        <w:rPr>
          <w:rFonts w:ascii="Times New Roman" w:eastAsia="Times New Roman" w:hAnsi="Times New Roman" w:cs="Times New Roman"/>
        </w:rPr>
        <w:t>State Risk issues related to the special use (e.g., Olmstead, HCBS, State Regulatory changes)</w:t>
      </w:r>
    </w:p>
    <w:p w14:paraId="7CAD472C" w14:textId="77777777" w:rsidR="00BD14A4" w:rsidRPr="00BD14A4" w:rsidRDefault="00BD14A4" w:rsidP="00BD14A4">
      <w:pPr>
        <w:pStyle w:val="Default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BD14A4">
        <w:rPr>
          <w:rFonts w:ascii="Times New Roman" w:eastAsia="Times New Roman" w:hAnsi="Times New Roman" w:cs="Times New Roman"/>
        </w:rPr>
        <w:t>Reliance on care provider partners/sub-contracts</w:t>
      </w:r>
    </w:p>
    <w:p w14:paraId="1E906B95" w14:textId="77777777" w:rsidR="00BD14A4" w:rsidRPr="00BD14A4" w:rsidRDefault="00BD14A4" w:rsidP="00BD14A4">
      <w:pPr>
        <w:pStyle w:val="Default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BD14A4">
        <w:rPr>
          <w:rFonts w:ascii="Times New Roman" w:eastAsia="Times New Roman" w:hAnsi="Times New Roman" w:cs="Times New Roman"/>
        </w:rPr>
        <w:t>Experience of Participants in serving this population</w:t>
      </w:r>
    </w:p>
    <w:p w14:paraId="257BEBB4" w14:textId="77777777" w:rsidR="00BD14A4" w:rsidRPr="00BD14A4" w:rsidRDefault="00BD14A4" w:rsidP="00BD14A4">
      <w:pPr>
        <w:pStyle w:val="Default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BD14A4">
        <w:rPr>
          <w:rFonts w:ascii="Times New Roman" w:eastAsia="Times New Roman" w:hAnsi="Times New Roman" w:cs="Times New Roman"/>
        </w:rPr>
        <w:t>Characteristics of the building for primary diagnosed MI population. (Locked wards or wings?  MI housed separately from other population?)</w:t>
      </w:r>
    </w:p>
    <w:p w14:paraId="1E0E1130" w14:textId="77777777" w:rsidR="00BD14A4" w:rsidRPr="00BD14A4" w:rsidRDefault="00BD14A4" w:rsidP="00BD14A4">
      <w:pPr>
        <w:pStyle w:val="Default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BD14A4">
        <w:rPr>
          <w:rFonts w:ascii="Times New Roman" w:eastAsia="Times New Roman" w:hAnsi="Times New Roman" w:cs="Times New Roman"/>
        </w:rPr>
        <w:t>Functional Obsolescence of Building (ward beds, aged physical plant, is the building marketable as market rate, etc.)</w:t>
      </w:r>
    </w:p>
    <w:p w14:paraId="2C0C8966" w14:textId="77777777" w:rsidR="00F47F19" w:rsidRPr="00D855E7" w:rsidRDefault="00F47F19" w:rsidP="00E70F60">
      <w:pPr>
        <w:pStyle w:val="Default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7E7859D" w14:textId="77777777" w:rsidR="00E00A1C" w:rsidRDefault="00E00A1C" w:rsidP="00AA6471">
      <w:pPr>
        <w:jc w:val="center"/>
      </w:pPr>
    </w:p>
    <w:sectPr w:rsidR="00E00A1C" w:rsidSect="001843F7"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36641" w14:textId="77777777" w:rsidR="001843F7" w:rsidRDefault="001843F7" w:rsidP="002D6EE7">
      <w:pPr>
        <w:spacing w:after="0" w:line="240" w:lineRule="auto"/>
      </w:pPr>
      <w:r>
        <w:separator/>
      </w:r>
    </w:p>
  </w:endnote>
  <w:endnote w:type="continuationSeparator" w:id="0">
    <w:p w14:paraId="6826F836" w14:textId="77777777" w:rsidR="001843F7" w:rsidRDefault="001843F7" w:rsidP="002D6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26EEA" w14:textId="49C2C425" w:rsidR="002D6EE7" w:rsidRDefault="000B4CF3" w:rsidP="00E70F60">
    <w:pPr>
      <w:pStyle w:val="Footer"/>
      <w:ind w:left="720"/>
    </w:pPr>
    <w:r w:rsidRPr="000B4CF3">
      <w:rPr>
        <w:rFonts w:ascii="Times New Roman" w:hAnsi="Times New Roman" w:cs="Times New Roman"/>
        <w:noProof/>
      </w:rPr>
      <w:ptab w:relativeTo="margin" w:alignment="center" w:leader="none"/>
    </w:r>
    <w:r w:rsidRPr="000B4CF3">
      <w:rPr>
        <w:rFonts w:ascii="Times New Roman" w:hAnsi="Times New Roman" w:cs="Times New Roman"/>
        <w:noProof/>
      </w:rPr>
      <w:ptab w:relativeTo="margin" w:alignment="right" w:leader="none"/>
    </w:r>
    <w:r>
      <w:rPr>
        <w:rFonts w:ascii="Times New Roman" w:hAnsi="Times New Roman" w:cs="Times New Roman"/>
        <w:noProof/>
      </w:rPr>
      <w:t>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32A3B" w14:textId="77777777" w:rsidR="001843F7" w:rsidRDefault="001843F7" w:rsidP="002D6EE7">
      <w:pPr>
        <w:spacing w:after="0" w:line="240" w:lineRule="auto"/>
      </w:pPr>
      <w:r>
        <w:separator/>
      </w:r>
    </w:p>
  </w:footnote>
  <w:footnote w:type="continuationSeparator" w:id="0">
    <w:p w14:paraId="5975EE28" w14:textId="77777777" w:rsidR="001843F7" w:rsidRDefault="001843F7" w:rsidP="002D6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940A8"/>
    <w:multiLevelType w:val="hybridMultilevel"/>
    <w:tmpl w:val="4C0A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9204D"/>
    <w:multiLevelType w:val="hybridMultilevel"/>
    <w:tmpl w:val="E004A934"/>
    <w:lvl w:ilvl="0" w:tplc="BE8C9C12">
      <w:start w:val="1"/>
      <w:numFmt w:val="upperLetter"/>
      <w:lvlText w:val="%1."/>
      <w:lvlJc w:val="left"/>
      <w:pPr>
        <w:ind w:left="432" w:hanging="432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7C54FEB2">
      <w:start w:val="1"/>
      <w:numFmt w:val="decimal"/>
      <w:lvlText w:val="%2."/>
      <w:lvlJc w:val="left"/>
      <w:pPr>
        <w:ind w:left="990" w:hanging="360"/>
      </w:pPr>
      <w:rPr>
        <w:rFonts w:ascii="Times New Roman" w:eastAsia="Times New Roman" w:hAnsi="Times New Roman" w:cs="Times New Roman"/>
        <w:b w:val="0"/>
      </w:rPr>
    </w:lvl>
    <w:lvl w:ilvl="2" w:tplc="90DE02D8">
      <w:start w:val="1"/>
      <w:numFmt w:val="lowerLetter"/>
      <w:lvlText w:val="%3."/>
      <w:lvlJc w:val="right"/>
      <w:pPr>
        <w:ind w:left="171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150"/>
        </w:tabs>
        <w:ind w:left="31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870"/>
        </w:tabs>
        <w:ind w:left="38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10"/>
        </w:tabs>
        <w:ind w:left="53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30"/>
        </w:tabs>
        <w:ind w:left="6030" w:hanging="360"/>
      </w:pPr>
    </w:lvl>
  </w:abstractNum>
  <w:abstractNum w:abstractNumId="2" w15:restartNumberingAfterBreak="0">
    <w:nsid w:val="32616004"/>
    <w:multiLevelType w:val="hybridMultilevel"/>
    <w:tmpl w:val="28D8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011A5"/>
    <w:multiLevelType w:val="hybridMultilevel"/>
    <w:tmpl w:val="B52ABE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2C4694"/>
    <w:multiLevelType w:val="hybridMultilevel"/>
    <w:tmpl w:val="9AD451D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CFB39D3"/>
    <w:multiLevelType w:val="hybridMultilevel"/>
    <w:tmpl w:val="0C300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E4208"/>
    <w:multiLevelType w:val="hybridMultilevel"/>
    <w:tmpl w:val="7DDCEC26"/>
    <w:lvl w:ilvl="0" w:tplc="0E3205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2398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613129">
    <w:abstractNumId w:val="4"/>
  </w:num>
  <w:num w:numId="3" w16cid:durableId="48846419">
    <w:abstractNumId w:val="3"/>
  </w:num>
  <w:num w:numId="4" w16cid:durableId="1676761660">
    <w:abstractNumId w:val="5"/>
  </w:num>
  <w:num w:numId="5" w16cid:durableId="435177233">
    <w:abstractNumId w:val="3"/>
  </w:num>
  <w:num w:numId="6" w16cid:durableId="140198206">
    <w:abstractNumId w:val="1"/>
  </w:num>
  <w:num w:numId="7" w16cid:durableId="398333941">
    <w:abstractNumId w:val="6"/>
  </w:num>
  <w:num w:numId="8" w16cid:durableId="1146314647">
    <w:abstractNumId w:val="0"/>
  </w:num>
  <w:num w:numId="9" w16cid:durableId="206556680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84"/>
    <w:rsid w:val="00042DBC"/>
    <w:rsid w:val="000A5461"/>
    <w:rsid w:val="000B44D0"/>
    <w:rsid w:val="000B4CF3"/>
    <w:rsid w:val="000F3CAA"/>
    <w:rsid w:val="000F5EDA"/>
    <w:rsid w:val="0010746A"/>
    <w:rsid w:val="0011430B"/>
    <w:rsid w:val="0016104D"/>
    <w:rsid w:val="00165103"/>
    <w:rsid w:val="0018217D"/>
    <w:rsid w:val="001843F7"/>
    <w:rsid w:val="001A7B9C"/>
    <w:rsid w:val="001F40A8"/>
    <w:rsid w:val="00213B37"/>
    <w:rsid w:val="002B68F8"/>
    <w:rsid w:val="002D0FF5"/>
    <w:rsid w:val="002D6EE7"/>
    <w:rsid w:val="002F56EC"/>
    <w:rsid w:val="00320B55"/>
    <w:rsid w:val="0033025D"/>
    <w:rsid w:val="00363033"/>
    <w:rsid w:val="003B30D1"/>
    <w:rsid w:val="003E22F2"/>
    <w:rsid w:val="0048520B"/>
    <w:rsid w:val="00493A60"/>
    <w:rsid w:val="005914D0"/>
    <w:rsid w:val="005B48A8"/>
    <w:rsid w:val="00605F53"/>
    <w:rsid w:val="00610BED"/>
    <w:rsid w:val="006B0341"/>
    <w:rsid w:val="006E35C0"/>
    <w:rsid w:val="006F36A9"/>
    <w:rsid w:val="007104C2"/>
    <w:rsid w:val="00716AE4"/>
    <w:rsid w:val="007211D5"/>
    <w:rsid w:val="007548C9"/>
    <w:rsid w:val="00761700"/>
    <w:rsid w:val="007E7B5A"/>
    <w:rsid w:val="007F1DBA"/>
    <w:rsid w:val="00875B03"/>
    <w:rsid w:val="009011DD"/>
    <w:rsid w:val="00901D2C"/>
    <w:rsid w:val="00915622"/>
    <w:rsid w:val="0093696A"/>
    <w:rsid w:val="009C744E"/>
    <w:rsid w:val="009D2A47"/>
    <w:rsid w:val="00A073C2"/>
    <w:rsid w:val="00A14957"/>
    <w:rsid w:val="00A253FE"/>
    <w:rsid w:val="00A306B6"/>
    <w:rsid w:val="00A67645"/>
    <w:rsid w:val="00A83F8D"/>
    <w:rsid w:val="00AA6471"/>
    <w:rsid w:val="00AD307A"/>
    <w:rsid w:val="00AE14CA"/>
    <w:rsid w:val="00B11415"/>
    <w:rsid w:val="00B26F39"/>
    <w:rsid w:val="00B40E7A"/>
    <w:rsid w:val="00B6169E"/>
    <w:rsid w:val="00B7261B"/>
    <w:rsid w:val="00B9703A"/>
    <w:rsid w:val="00BC3862"/>
    <w:rsid w:val="00BC70E3"/>
    <w:rsid w:val="00BD14A4"/>
    <w:rsid w:val="00C01AE7"/>
    <w:rsid w:val="00C54D9A"/>
    <w:rsid w:val="00C56FC7"/>
    <w:rsid w:val="00CC038A"/>
    <w:rsid w:val="00CE4241"/>
    <w:rsid w:val="00D307C9"/>
    <w:rsid w:val="00D30824"/>
    <w:rsid w:val="00D64E67"/>
    <w:rsid w:val="00D74A51"/>
    <w:rsid w:val="00D855E7"/>
    <w:rsid w:val="00DA6696"/>
    <w:rsid w:val="00DB046F"/>
    <w:rsid w:val="00DC2A85"/>
    <w:rsid w:val="00DE3011"/>
    <w:rsid w:val="00E00A1C"/>
    <w:rsid w:val="00E31407"/>
    <w:rsid w:val="00E36C83"/>
    <w:rsid w:val="00E70F60"/>
    <w:rsid w:val="00E76084"/>
    <w:rsid w:val="00E90FC2"/>
    <w:rsid w:val="00EB7165"/>
    <w:rsid w:val="00EC7D4A"/>
    <w:rsid w:val="00EF7B7F"/>
    <w:rsid w:val="00F47F19"/>
    <w:rsid w:val="00F674C5"/>
    <w:rsid w:val="00F86462"/>
    <w:rsid w:val="00F96C01"/>
    <w:rsid w:val="00FB0E51"/>
    <w:rsid w:val="00FB2433"/>
    <w:rsid w:val="00FD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F9A3C"/>
  <w15:chartTrackingRefBased/>
  <w15:docId w15:val="{40E312C2-D169-4BC6-8B99-2B84FAA1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A1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00A1C"/>
    <w:pPr>
      <w:spacing w:after="200" w:line="276" w:lineRule="auto"/>
      <w:ind w:left="720"/>
      <w:contextualSpacing/>
    </w:pPr>
    <w:rPr>
      <w:rFonts w:ascii="Calibri" w:hAnsi="Calibri" w:cs="Calibri"/>
      <w:kern w:val="0"/>
      <w14:ligatures w14:val="none"/>
    </w:rPr>
  </w:style>
  <w:style w:type="paragraph" w:customStyle="1" w:styleId="Default">
    <w:name w:val="Default"/>
    <w:basedOn w:val="Normal"/>
    <w:rsid w:val="00E00A1C"/>
    <w:pPr>
      <w:autoSpaceDE w:val="0"/>
      <w:autoSpaceDN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D30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6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EE7"/>
  </w:style>
  <w:style w:type="paragraph" w:styleId="Footer">
    <w:name w:val="footer"/>
    <w:basedOn w:val="Normal"/>
    <w:link w:val="FooterChar"/>
    <w:uiPriority w:val="99"/>
    <w:unhideWhenUsed/>
    <w:rsid w:val="002D6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EE7"/>
  </w:style>
  <w:style w:type="character" w:customStyle="1" w:styleId="ui-provider">
    <w:name w:val="ui-provider"/>
    <w:basedOn w:val="DefaultParagraphFont"/>
    <w:rsid w:val="00D30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anThinking@hud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anThinking@hud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66f42b4-c70a-46d4-b042-295a079360fa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DE3B369B9E74C95F1C5D9384C708C" ma:contentTypeVersion="20" ma:contentTypeDescription="Create a new document." ma:contentTypeScope="" ma:versionID="cd4a0122361527c7b5b9cf6868a70fac">
  <xsd:schema xmlns:xsd="http://www.w3.org/2001/XMLSchema" xmlns:xs="http://www.w3.org/2001/XMLSchema" xmlns:p="http://schemas.microsoft.com/office/2006/metadata/properties" xmlns:ns1="http://schemas.microsoft.com/sharepoint/v3" xmlns:ns3="e66f42b4-c70a-46d4-b042-295a079360fa" xmlns:ns4="b42af852-80d2-4a59-9f02-b350b49c8483" targetNamespace="http://schemas.microsoft.com/office/2006/metadata/properties" ma:root="true" ma:fieldsID="0a541fa47a67cf2431eb77860f082877" ns1:_="" ns3:_="" ns4:_="">
    <xsd:import namespace="http://schemas.microsoft.com/sharepoint/v3"/>
    <xsd:import namespace="e66f42b4-c70a-46d4-b042-295a079360fa"/>
    <xsd:import namespace="b42af852-80d2-4a59-9f02-b350b49c84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f42b4-c70a-46d4-b042-295a07936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af852-80d2-4a59-9f02-b350b49c8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984C5-143A-412D-BE93-A26DA13D9C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E0C29D-D5B9-4B0C-A125-80A6828225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F2DA2A-2A60-43AC-B1F6-E6350E096CD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66f42b4-c70a-46d4-b042-295a079360fa"/>
    <ds:schemaRef ds:uri="http://purl.org/dc/elements/1.1/"/>
    <ds:schemaRef ds:uri="http://schemas.microsoft.com/office/2006/metadata/properties"/>
    <ds:schemaRef ds:uri="b42af852-80d2-4a59-9f02-b350b49c848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B07B71A-E599-4969-872A-62A741392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6f42b4-c70a-46d4-b042-295a079360fa"/>
    <ds:schemaRef ds:uri="b42af852-80d2-4a59-9f02-b350b49c8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Housing and Urban Development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Rachel L</dc:creator>
  <cp:keywords/>
  <dc:description/>
  <cp:lastModifiedBy>Coleman, Rachel L</cp:lastModifiedBy>
  <cp:revision>6</cp:revision>
  <dcterms:created xsi:type="dcterms:W3CDTF">2024-09-12T13:46:00Z</dcterms:created>
  <dcterms:modified xsi:type="dcterms:W3CDTF">2024-09-12T13:50:00Z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0x01010051EDE3B369B9E74C95F1C5D9384C708C</vt:lpwstr>
  </property>
</Properties>
</file>