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64D" w14:textId="77777777" w:rsidR="00FB3E11" w:rsidRPr="00FB3E11" w:rsidRDefault="00F87CFC" w:rsidP="00FB3E11">
      <w:pPr>
        <w:widowControl w:val="0"/>
        <w:ind w:left="1023" w:right="1023"/>
        <w:jc w:val="center"/>
        <w:rPr>
          <w:sz w:val="16"/>
        </w:rPr>
      </w:pPr>
      <w:r>
        <w:rPr>
          <w:noProof/>
          <w:sz w:val="16"/>
        </w:rPr>
        <mc:AlternateContent>
          <mc:Choice Requires="wps">
            <w:drawing>
              <wp:anchor distT="0" distB="0" distL="114300" distR="114300" simplePos="0" relativeHeight="251658240" behindDoc="1" locked="1" layoutInCell="0" allowOverlap="1" wp14:anchorId="1B73C13F" wp14:editId="42C94F26">
                <wp:simplePos x="0" y="0"/>
                <wp:positionH relativeFrom="margin">
                  <wp:posOffset>3049905</wp:posOffset>
                </wp:positionH>
                <wp:positionV relativeFrom="paragraph">
                  <wp:posOffset>0</wp:posOffset>
                </wp:positionV>
                <wp:extent cx="1143000" cy="914400"/>
                <wp:effectExtent l="1905"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6A6733" w14:textId="77777777" w:rsidR="00FB3E11" w:rsidRDefault="00F87CFC" w:rsidP="00FB3E11">
                            <w:pPr>
                              <w:widowControl w:val="0"/>
                              <w:pBdr>
                                <w:top w:val="single" w:sz="6" w:space="0" w:color="FFFFFF"/>
                                <w:left w:val="single" w:sz="6" w:space="0" w:color="FFFFFF"/>
                                <w:bottom w:val="single" w:sz="6" w:space="0" w:color="FFFFFF"/>
                                <w:right w:val="single" w:sz="6" w:space="0" w:color="FFFFFF"/>
                              </w:pBdr>
                              <w:rPr>
                                <w:rFonts w:ascii="LotusWP Icon" w:hAnsi="LotusWP Icon"/>
                              </w:rPr>
                            </w:pPr>
                            <w:r>
                              <w:rPr>
                                <w:rFonts w:ascii="LotusWP Icon" w:hAnsi="LotusWP Icon"/>
                                <w:noProof/>
                              </w:rPr>
                              <w:drawing>
                                <wp:inline distT="0" distB="0" distL="0" distR="0" wp14:anchorId="6C994E3E" wp14:editId="505B8839">
                                  <wp:extent cx="3838575" cy="463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030" t="3923" r="40834" b="86003"/>
                                          <a:stretch>
                                            <a:fillRect/>
                                          </a:stretch>
                                        </pic:blipFill>
                                        <pic:spPr bwMode="auto">
                                          <a:xfrm>
                                            <a:off x="0" y="0"/>
                                            <a:ext cx="3838575" cy="4638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3C13F" id="Rectangle 7" o:spid="_x0000_s1026" style="position:absolute;left:0;text-align:left;margin-left:240.15pt;margin-top:0;width:90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" o:allowincell="f" filled="f" stroked="f" strokeweight="0">
                <v:textbox inset="0,0,0,0">
                  <w:txbxContent>
                    <w:p w14:paraId="5A6A6733" w14:textId="77777777" w:rsidR="00FB3E11" w:rsidRDefault="00F87CFC" w:rsidP="00FB3E11">
                      <w:pPr>
                        <w:widowControl w:val="0"/>
                        <w:pBdr>
                          <w:top w:val="single" w:sz="6" w:space="0" w:color="FFFFFF"/>
                          <w:left w:val="single" w:sz="6" w:space="0" w:color="FFFFFF"/>
                          <w:bottom w:val="single" w:sz="6" w:space="0" w:color="FFFFFF"/>
                          <w:right w:val="single" w:sz="6" w:space="0" w:color="FFFFFF"/>
                        </w:pBdr>
                        <w:rPr>
                          <w:rFonts w:ascii="LotusWP Icon" w:hAnsi="LotusWP Icon"/>
                        </w:rPr>
                      </w:pPr>
                      <w:r>
                        <w:rPr>
                          <w:rFonts w:ascii="LotusWP Icon" w:hAnsi="LotusWP Icon"/>
                          <w:noProof/>
                        </w:rPr>
                        <w:drawing>
                          <wp:inline distT="0" distB="0" distL="0" distR="0" wp14:anchorId="6C994E3E" wp14:editId="505B8839">
                            <wp:extent cx="3838575" cy="463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030" t="3923" r="40834" b="86003"/>
                                    <a:stretch>
                                      <a:fillRect/>
                                    </a:stretch>
                                  </pic:blipFill>
                                  <pic:spPr bwMode="auto">
                                    <a:xfrm>
                                      <a:off x="0" y="0"/>
                                      <a:ext cx="3838575" cy="4638675"/>
                                    </a:xfrm>
                                    <a:prstGeom prst="rect">
                                      <a:avLst/>
                                    </a:prstGeom>
                                    <a:noFill/>
                                    <a:ln>
                                      <a:noFill/>
                                    </a:ln>
                                  </pic:spPr>
                                </pic:pic>
                              </a:graphicData>
                            </a:graphic>
                          </wp:inline>
                        </w:drawing>
                      </w:r>
                    </w:p>
                  </w:txbxContent>
                </v:textbox>
                <w10:wrap anchorx="margin"/>
                <w10:anchorlock/>
              </v:rect>
            </w:pict>
          </mc:Fallback>
        </mc:AlternateContent>
      </w:r>
    </w:p>
    <w:p w14:paraId="60A796CC" w14:textId="77777777" w:rsidR="00FB3E11" w:rsidRDefault="00B60F77" w:rsidP="00B60F77">
      <w:pPr>
        <w:widowControl w:val="0"/>
        <w:ind w:right="1023"/>
        <w:rPr>
          <w:sz w:val="16"/>
        </w:rPr>
      </w:pPr>
      <w:r>
        <w:rPr>
          <w:noProof/>
        </w:rPr>
        <w:drawing>
          <wp:inline distT="0" distB="0" distL="0" distR="0" wp14:anchorId="3FEE46A9" wp14:editId="3319A3C7">
            <wp:extent cx="2790825" cy="676275"/>
            <wp:effectExtent l="0" t="0" r="9525" b="9525"/>
            <wp:docPr id="3" name="Picture 3"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676275"/>
                    </a:xfrm>
                    <a:prstGeom prst="rect">
                      <a:avLst/>
                    </a:prstGeom>
                    <a:noFill/>
                    <a:ln>
                      <a:noFill/>
                    </a:ln>
                  </pic:spPr>
                </pic:pic>
              </a:graphicData>
            </a:graphic>
          </wp:inline>
        </w:drawing>
      </w:r>
    </w:p>
    <w:p w14:paraId="1850ED3F" w14:textId="77777777" w:rsidR="00FB3E11" w:rsidRDefault="00FB3E11" w:rsidP="00C376B2">
      <w:pPr>
        <w:widowControl w:val="0"/>
        <w:ind w:left="1023" w:right="1023"/>
        <w:jc w:val="center"/>
        <w:rPr>
          <w:sz w:val="16"/>
        </w:rPr>
      </w:pPr>
    </w:p>
    <w:p w14:paraId="73AA5B42" w14:textId="77777777" w:rsidR="00FB3E11" w:rsidRDefault="00FB3E11" w:rsidP="00C376B2">
      <w:pPr>
        <w:widowControl w:val="0"/>
        <w:ind w:left="1023" w:right="1023"/>
        <w:jc w:val="center"/>
        <w:rPr>
          <w:sz w:val="16"/>
        </w:rPr>
      </w:pPr>
    </w:p>
    <w:p w14:paraId="697BD6DB" w14:textId="3E864DEC" w:rsidR="00FB3E11" w:rsidRPr="00AC29FF" w:rsidRDefault="00AC29FF" w:rsidP="00C376B2">
      <w:pPr>
        <w:widowControl w:val="0"/>
        <w:ind w:left="1023" w:right="1023"/>
        <w:jc w:val="center"/>
        <w:rPr>
          <w:sz w:val="20"/>
        </w:rPr>
      </w:pPr>
      <w:r>
        <w:rPr>
          <w:sz w:val="20"/>
        </w:rPr>
        <w:t>December 24, 2020</w:t>
      </w:r>
    </w:p>
    <w:p w14:paraId="4EEE6E58" w14:textId="77777777" w:rsidR="00FB3E11" w:rsidRDefault="00FB3E11" w:rsidP="00C376B2">
      <w:pPr>
        <w:widowControl w:val="0"/>
        <w:ind w:left="1023" w:right="1023"/>
        <w:jc w:val="center"/>
        <w:rPr>
          <w:sz w:val="16"/>
        </w:rPr>
      </w:pPr>
    </w:p>
    <w:p w14:paraId="2C0BF731" w14:textId="77777777" w:rsidR="00FB3E11" w:rsidRDefault="00FB3E11" w:rsidP="00C376B2">
      <w:pPr>
        <w:widowControl w:val="0"/>
        <w:ind w:left="1023" w:right="1023"/>
        <w:jc w:val="center"/>
        <w:rPr>
          <w:sz w:val="16"/>
        </w:rPr>
      </w:pPr>
    </w:p>
    <w:p w14:paraId="6216E8BE" w14:textId="77777777" w:rsidR="0001481B" w:rsidRDefault="0001481B" w:rsidP="00C376B2">
      <w:pPr>
        <w:jc w:val="center"/>
        <w:rPr>
          <w:sz w:val="16"/>
        </w:rPr>
      </w:pPr>
    </w:p>
    <w:p w14:paraId="23EBA7FA" w14:textId="77777777" w:rsidR="00DA2D27" w:rsidRDefault="00DA2D27" w:rsidP="00C376B2">
      <w:pPr>
        <w:jc w:val="center"/>
        <w:rPr>
          <w:sz w:val="16"/>
        </w:rPr>
      </w:pPr>
    </w:p>
    <w:p w14:paraId="2297EB54" w14:textId="77777777" w:rsidR="0001481B" w:rsidRDefault="00204782" w:rsidP="001609E9">
      <w:pPr>
        <w:tabs>
          <w:tab w:val="left" w:pos="7720"/>
        </w:tabs>
        <w:rPr>
          <w:sz w:val="16"/>
          <w:szCs w:val="16"/>
        </w:rPr>
      </w:pPr>
      <w:r>
        <w:rPr>
          <w:sz w:val="16"/>
          <w:szCs w:val="16"/>
        </w:rPr>
        <w:t>Bureau of Human Services Licensing</w:t>
      </w:r>
      <w:r w:rsidR="00C31209">
        <w:rPr>
          <w:sz w:val="16"/>
          <w:szCs w:val="16"/>
        </w:rPr>
        <w:t xml:space="preserve">                                                                                                                    </w:t>
      </w:r>
      <w:r w:rsidR="0001481B">
        <w:rPr>
          <w:sz w:val="16"/>
          <w:szCs w:val="16"/>
        </w:rPr>
        <w:t>TEL: (717) 705-0383</w:t>
      </w:r>
    </w:p>
    <w:p w14:paraId="392BB043" w14:textId="77777777" w:rsidR="0001481B" w:rsidRDefault="00204782" w:rsidP="001609E9">
      <w:pPr>
        <w:tabs>
          <w:tab w:val="left" w:pos="7720"/>
        </w:tabs>
        <w:rPr>
          <w:sz w:val="16"/>
          <w:szCs w:val="16"/>
        </w:rPr>
      </w:pPr>
      <w:r>
        <w:rPr>
          <w:sz w:val="16"/>
          <w:szCs w:val="16"/>
        </w:rPr>
        <w:t xml:space="preserve">Licensing Administration                  </w:t>
      </w:r>
      <w:r w:rsidR="00C31209">
        <w:rPr>
          <w:sz w:val="16"/>
          <w:szCs w:val="16"/>
        </w:rPr>
        <w:t xml:space="preserve">                                                                                                                       </w:t>
      </w:r>
      <w:r w:rsidR="0001481B">
        <w:rPr>
          <w:sz w:val="16"/>
          <w:szCs w:val="16"/>
        </w:rPr>
        <w:t>FAX: (717) 705-6955</w:t>
      </w:r>
    </w:p>
    <w:p w14:paraId="5C15BD66" w14:textId="77777777" w:rsidR="0001481B" w:rsidRDefault="0001481B" w:rsidP="001609E9">
      <w:pPr>
        <w:tabs>
          <w:tab w:val="left" w:pos="7720"/>
        </w:tabs>
        <w:rPr>
          <w:sz w:val="16"/>
          <w:szCs w:val="16"/>
        </w:rPr>
      </w:pPr>
    </w:p>
    <w:p w14:paraId="490FE1B3" w14:textId="77777777" w:rsidR="0001481B" w:rsidRDefault="0001481B" w:rsidP="001609E9">
      <w:pPr>
        <w:tabs>
          <w:tab w:val="left" w:pos="7720"/>
        </w:tabs>
        <w:rPr>
          <w:sz w:val="16"/>
          <w:szCs w:val="16"/>
        </w:rPr>
      </w:pPr>
    </w:p>
    <w:p w14:paraId="01525C3C" w14:textId="77777777" w:rsidR="0001481B" w:rsidRDefault="0001481B" w:rsidP="001609E9">
      <w:pPr>
        <w:tabs>
          <w:tab w:val="left" w:pos="7720"/>
        </w:tabs>
        <w:rPr>
          <w:sz w:val="16"/>
          <w:szCs w:val="16"/>
        </w:rPr>
      </w:pPr>
    </w:p>
    <w:p w14:paraId="4FA912DB" w14:textId="77777777" w:rsidR="0016798C" w:rsidRDefault="001609E9" w:rsidP="001609E9">
      <w:pPr>
        <w:tabs>
          <w:tab w:val="left" w:pos="7720"/>
        </w:tabs>
        <w:rPr>
          <w:b/>
          <w:sz w:val="22"/>
          <w:u w:val="single"/>
        </w:rPr>
      </w:pPr>
      <w:r>
        <w:rPr>
          <w:sz w:val="16"/>
          <w:szCs w:val="16"/>
        </w:rPr>
        <w:tab/>
      </w:r>
    </w:p>
    <w:p w14:paraId="24454A15" w14:textId="77777777" w:rsidR="00606643" w:rsidRDefault="006B5F07" w:rsidP="00AF7A6D">
      <w:pPr>
        <w:tabs>
          <w:tab w:val="left" w:pos="7780"/>
        </w:tabs>
      </w:pPr>
      <w:r>
        <w:t>Scott Logan</w:t>
      </w:r>
    </w:p>
    <w:p w14:paraId="1137C380" w14:textId="77777777" w:rsidR="00606643" w:rsidRDefault="00606643" w:rsidP="00AF7A6D">
      <w:pPr>
        <w:tabs>
          <w:tab w:val="left" w:pos="7780"/>
        </w:tabs>
      </w:pPr>
      <w:r>
        <w:t>Social Security Administration</w:t>
      </w:r>
    </w:p>
    <w:p w14:paraId="2353BDFF" w14:textId="77777777" w:rsidR="00606643" w:rsidRDefault="00606643" w:rsidP="00AF7A6D">
      <w:pPr>
        <w:tabs>
          <w:tab w:val="left" w:pos="7780"/>
        </w:tabs>
      </w:pPr>
      <w:r>
        <w:t>Office of Income Security Programs</w:t>
      </w:r>
    </w:p>
    <w:p w14:paraId="5EACB7D3" w14:textId="77777777" w:rsidR="00606643" w:rsidRDefault="00606643" w:rsidP="00AF7A6D">
      <w:pPr>
        <w:tabs>
          <w:tab w:val="left" w:pos="7780"/>
        </w:tabs>
      </w:pPr>
      <w:r>
        <w:t>Keys Section</w:t>
      </w:r>
    </w:p>
    <w:p w14:paraId="231511D7" w14:textId="77777777" w:rsidR="001E346A" w:rsidRDefault="001E346A" w:rsidP="00AF7A6D">
      <w:pPr>
        <w:tabs>
          <w:tab w:val="left" w:pos="7780"/>
        </w:tabs>
      </w:pPr>
      <w:r>
        <w:t>2</w:t>
      </w:r>
      <w:r w:rsidR="004B286D">
        <w:t>518</w:t>
      </w:r>
      <w:r>
        <w:t xml:space="preserve"> Robert M. Ball Building</w:t>
      </w:r>
    </w:p>
    <w:p w14:paraId="7A5A2611" w14:textId="77777777" w:rsidR="00606643" w:rsidRDefault="00606643" w:rsidP="00AF7A6D">
      <w:pPr>
        <w:tabs>
          <w:tab w:val="left" w:pos="7780"/>
        </w:tabs>
      </w:pPr>
      <w:r>
        <w:t>6401 Security Boulevard</w:t>
      </w:r>
    </w:p>
    <w:p w14:paraId="6F734685" w14:textId="77777777" w:rsidR="00606643" w:rsidRDefault="00606643" w:rsidP="00AF7A6D">
      <w:pPr>
        <w:tabs>
          <w:tab w:val="left" w:pos="7780"/>
        </w:tabs>
      </w:pP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21235</w:t>
          </w:r>
        </w:smartTag>
      </w:smartTag>
    </w:p>
    <w:p w14:paraId="34654F55" w14:textId="77777777" w:rsidR="00606643" w:rsidRDefault="00606643" w:rsidP="00AF7A6D">
      <w:pPr>
        <w:tabs>
          <w:tab w:val="left" w:pos="7780"/>
        </w:tabs>
      </w:pPr>
    </w:p>
    <w:p w14:paraId="2DA142D3" w14:textId="77777777" w:rsidR="00606643" w:rsidRDefault="00606643" w:rsidP="00AF7A6D">
      <w:pPr>
        <w:tabs>
          <w:tab w:val="left" w:pos="7780"/>
        </w:tabs>
      </w:pPr>
      <w:r>
        <w:t xml:space="preserve">Dear </w:t>
      </w:r>
      <w:r w:rsidR="001E346A">
        <w:t xml:space="preserve">Mr. </w:t>
      </w:r>
      <w:r w:rsidR="006B5F07">
        <w:t>Logan</w:t>
      </w:r>
      <w:r>
        <w:t>:</w:t>
      </w:r>
    </w:p>
    <w:p w14:paraId="1E8D756A" w14:textId="77777777" w:rsidR="00606643" w:rsidRDefault="00606643" w:rsidP="00AF7A6D">
      <w:pPr>
        <w:tabs>
          <w:tab w:val="left" w:pos="7780"/>
        </w:tabs>
      </w:pPr>
    </w:p>
    <w:p w14:paraId="33DE3867" w14:textId="7E07E0CE" w:rsidR="008D3904" w:rsidRDefault="00606643" w:rsidP="00AF7A6D">
      <w:pPr>
        <w:tabs>
          <w:tab w:val="left" w:pos="7780"/>
        </w:tabs>
      </w:pPr>
      <w:r>
        <w:t xml:space="preserve">     I have been assigned the responsibility for </w:t>
      </w:r>
      <w:r w:rsidR="008D3904">
        <w:t xml:space="preserve">implementing the Keys </w:t>
      </w:r>
      <w:r w:rsidR="00A57234">
        <w:t>Amendment requirements</w:t>
      </w:r>
      <w:r w:rsidR="008D3904">
        <w:t xml:space="preserve"> and the Keys Amendment Certification for the </w:t>
      </w:r>
      <w:smartTag w:uri="urn:schemas-microsoft-com:office:smarttags" w:element="place">
        <w:smartTag w:uri="urn:schemas-microsoft-com:office:smarttags" w:element="PlaceType">
          <w:r w:rsidR="008D3904">
            <w:t>Commonwealth</w:t>
          </w:r>
        </w:smartTag>
        <w:r w:rsidR="008D3904">
          <w:t xml:space="preserve"> of </w:t>
        </w:r>
        <w:smartTag w:uri="urn:schemas-microsoft-com:office:smarttags" w:element="PlaceName">
          <w:r w:rsidR="008D3904">
            <w:t>Pennsylvania</w:t>
          </w:r>
        </w:smartTag>
      </w:smartTag>
      <w:r w:rsidR="008D3904">
        <w:t xml:space="preserve">.  Enclosed is Pennsylvania’s certification under the Keys Amendment, Section 1616(e) of the </w:t>
      </w:r>
      <w:r w:rsidR="00367B6A">
        <w:t>S</w:t>
      </w:r>
      <w:r w:rsidR="008D3904">
        <w:t xml:space="preserve">ocial </w:t>
      </w:r>
      <w:r w:rsidR="00367B6A">
        <w:t>S</w:t>
      </w:r>
      <w:r w:rsidR="008D3904">
        <w:t>ecurity Act</w:t>
      </w:r>
      <w:r w:rsidR="00367B6A">
        <w:t xml:space="preserve">, 42 U.S.C §§ 1382e and </w:t>
      </w:r>
      <w:r w:rsidR="008D3904">
        <w:t xml:space="preserve">45 </w:t>
      </w:r>
      <w:smartTag w:uri="urn:schemas-microsoft-com:office:smarttags" w:element="stockticker">
        <w:r w:rsidR="008D3904">
          <w:t>CFR</w:t>
        </w:r>
      </w:smartTag>
      <w:r w:rsidR="008D3904">
        <w:t xml:space="preserve"> Part 1397</w:t>
      </w:r>
      <w:r w:rsidR="00367B6A">
        <w:t>,</w:t>
      </w:r>
      <w:r w:rsidR="008D3904">
        <w:t xml:space="preserve"> for Federal Fiscal Year 20</w:t>
      </w:r>
      <w:r w:rsidR="00AC29FF">
        <w:t>21</w:t>
      </w:r>
      <w:r w:rsidR="008D3904">
        <w:t>.</w:t>
      </w:r>
    </w:p>
    <w:p w14:paraId="6F269989" w14:textId="77777777" w:rsidR="008D3904" w:rsidRDefault="008D3904" w:rsidP="00AF7A6D">
      <w:pPr>
        <w:tabs>
          <w:tab w:val="left" w:pos="7780"/>
        </w:tabs>
      </w:pPr>
    </w:p>
    <w:p w14:paraId="36DD1FF8" w14:textId="77777777" w:rsidR="008D3904" w:rsidRDefault="008D3904" w:rsidP="00AF7A6D">
      <w:pPr>
        <w:tabs>
          <w:tab w:val="left" w:pos="7780"/>
        </w:tabs>
      </w:pPr>
      <w:r>
        <w:t xml:space="preserve">     There wer</w:t>
      </w:r>
      <w:r w:rsidR="00A57234">
        <w:t>e</w:t>
      </w:r>
      <w:r>
        <w:t xml:space="preserve"> no new licensing regulations which would </w:t>
      </w:r>
      <w:r w:rsidR="006F2C66">
        <w:t>affect</w:t>
      </w:r>
      <w:r>
        <w:t xml:space="preserve"> residential settings where Supplemental Security Income (SSI) recipients reside proposed or promulgated during this past year.</w:t>
      </w:r>
    </w:p>
    <w:p w14:paraId="5C204908" w14:textId="77777777" w:rsidR="008D3904" w:rsidRDefault="008D3904" w:rsidP="00AF7A6D">
      <w:pPr>
        <w:tabs>
          <w:tab w:val="left" w:pos="7780"/>
        </w:tabs>
      </w:pPr>
    </w:p>
    <w:p w14:paraId="5D9E8CE0" w14:textId="77777777" w:rsidR="00C31209" w:rsidRDefault="008D3904" w:rsidP="00AF7A6D">
      <w:pPr>
        <w:tabs>
          <w:tab w:val="left" w:pos="7780"/>
        </w:tabs>
      </w:pPr>
      <w:r>
        <w:t xml:space="preserve">     If you have any questions about this submission, please contact me at this </w:t>
      </w:r>
      <w:r w:rsidR="00C31209">
        <w:t>office at 717-705-0382.</w:t>
      </w:r>
    </w:p>
    <w:p w14:paraId="268F4677" w14:textId="77777777" w:rsidR="00C31209" w:rsidRDefault="00C31209" w:rsidP="00AF7A6D">
      <w:pPr>
        <w:tabs>
          <w:tab w:val="left" w:pos="7780"/>
        </w:tabs>
      </w:pPr>
    </w:p>
    <w:p w14:paraId="618F1BF2" w14:textId="77777777" w:rsidR="00C31209" w:rsidRDefault="00C31209" w:rsidP="00C31209">
      <w:pPr>
        <w:tabs>
          <w:tab w:val="left" w:pos="5040"/>
          <w:tab w:val="left" w:pos="7780"/>
        </w:tabs>
      </w:pPr>
      <w:r>
        <w:t xml:space="preserve">                                                                           </w:t>
      </w:r>
      <w:r>
        <w:tab/>
        <w:t>Sincerely,</w:t>
      </w:r>
    </w:p>
    <w:p w14:paraId="4A2FEF27" w14:textId="77777777" w:rsidR="00C31209" w:rsidRDefault="00C31209" w:rsidP="00C31209">
      <w:pPr>
        <w:tabs>
          <w:tab w:val="left" w:pos="5040"/>
          <w:tab w:val="left" w:pos="7780"/>
        </w:tabs>
      </w:pPr>
    </w:p>
    <w:p w14:paraId="2BF675A6" w14:textId="77777777" w:rsidR="00C31209" w:rsidRDefault="00C31209" w:rsidP="00C31209">
      <w:pPr>
        <w:tabs>
          <w:tab w:val="left" w:pos="5040"/>
          <w:tab w:val="left" w:pos="7780"/>
        </w:tabs>
      </w:pPr>
    </w:p>
    <w:p w14:paraId="290C29E9" w14:textId="0523B409" w:rsidR="00A57234" w:rsidRDefault="00AC29FF" w:rsidP="00C31209">
      <w:pPr>
        <w:tabs>
          <w:tab w:val="left" w:pos="5040"/>
          <w:tab w:val="left" w:pos="7780"/>
        </w:tabs>
      </w:pPr>
      <w:r>
        <w:tab/>
      </w:r>
      <w:r>
        <w:rPr>
          <w:noProof/>
        </w:rPr>
        <w:drawing>
          <wp:inline distT="0" distB="0" distL="0" distR="0" wp14:anchorId="45BE77F0" wp14:editId="1905BACD">
            <wp:extent cx="1767993" cy="3505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b's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767993" cy="350550"/>
                    </a:xfrm>
                    <a:prstGeom prst="rect">
                      <a:avLst/>
                    </a:prstGeom>
                  </pic:spPr>
                </pic:pic>
              </a:graphicData>
            </a:graphic>
          </wp:inline>
        </w:drawing>
      </w:r>
    </w:p>
    <w:p w14:paraId="52B0A9DB" w14:textId="77777777" w:rsidR="00C31209" w:rsidRDefault="00C31209" w:rsidP="00C31209">
      <w:pPr>
        <w:tabs>
          <w:tab w:val="left" w:pos="5040"/>
          <w:tab w:val="left" w:pos="7780"/>
        </w:tabs>
      </w:pPr>
    </w:p>
    <w:p w14:paraId="5E712B12" w14:textId="77777777" w:rsidR="00C31209" w:rsidRDefault="00C31209" w:rsidP="00C31209">
      <w:pPr>
        <w:tabs>
          <w:tab w:val="left" w:pos="5040"/>
          <w:tab w:val="left" w:pos="7780"/>
        </w:tabs>
      </w:pPr>
      <w:r>
        <w:tab/>
        <w:t>Robert Robinson</w:t>
      </w:r>
    </w:p>
    <w:p w14:paraId="368E3CB0" w14:textId="77777777" w:rsidR="00C31209" w:rsidRDefault="00C31209" w:rsidP="00C31209">
      <w:pPr>
        <w:tabs>
          <w:tab w:val="left" w:pos="5040"/>
          <w:tab w:val="left" w:pos="7780"/>
        </w:tabs>
      </w:pPr>
      <w:r>
        <w:tab/>
        <w:t>Director</w:t>
      </w:r>
    </w:p>
    <w:p w14:paraId="09BAFC0A" w14:textId="77777777" w:rsidR="00C31209" w:rsidRDefault="00C31209" w:rsidP="00C31209">
      <w:pPr>
        <w:tabs>
          <w:tab w:val="left" w:pos="5040"/>
          <w:tab w:val="left" w:pos="7780"/>
        </w:tabs>
      </w:pPr>
    </w:p>
    <w:p w14:paraId="6563C5C6" w14:textId="77777777" w:rsidR="00C31209" w:rsidRDefault="00C31209" w:rsidP="00C31209">
      <w:pPr>
        <w:tabs>
          <w:tab w:val="left" w:pos="5040"/>
          <w:tab w:val="left" w:pos="7780"/>
        </w:tabs>
      </w:pPr>
    </w:p>
    <w:p w14:paraId="3FA73B56" w14:textId="77777777" w:rsidR="00762929" w:rsidRDefault="00C31209" w:rsidP="00C31209">
      <w:pPr>
        <w:tabs>
          <w:tab w:val="left" w:pos="5040"/>
          <w:tab w:val="left" w:pos="7780"/>
        </w:tabs>
      </w:pPr>
      <w:r>
        <w:t xml:space="preserve">Enclosures </w:t>
      </w:r>
      <w:r w:rsidR="001609E9" w:rsidRPr="001609E9">
        <w:t xml:space="preserve">                                      </w:t>
      </w:r>
    </w:p>
    <w:p w14:paraId="0D9C1621" w14:textId="77777777" w:rsidR="00762929" w:rsidRDefault="00762929" w:rsidP="00C31209">
      <w:pPr>
        <w:tabs>
          <w:tab w:val="left" w:pos="5040"/>
          <w:tab w:val="left" w:pos="7780"/>
        </w:tabs>
      </w:pPr>
    </w:p>
    <w:p w14:paraId="3809B932" w14:textId="77777777" w:rsidR="00762929" w:rsidRDefault="00762929" w:rsidP="00C31209">
      <w:pPr>
        <w:tabs>
          <w:tab w:val="left" w:pos="5040"/>
          <w:tab w:val="left" w:pos="7780"/>
        </w:tabs>
      </w:pPr>
    </w:p>
    <w:p w14:paraId="68127865" w14:textId="77777777" w:rsidR="00762929" w:rsidRDefault="00762929" w:rsidP="00C31209">
      <w:pPr>
        <w:tabs>
          <w:tab w:val="left" w:pos="5040"/>
          <w:tab w:val="left" w:pos="7780"/>
        </w:tabs>
      </w:pPr>
    </w:p>
    <w:p w14:paraId="27A1B49A" w14:textId="77777777" w:rsidR="00411ACA" w:rsidRDefault="00411ACA" w:rsidP="00C31209">
      <w:pPr>
        <w:tabs>
          <w:tab w:val="left" w:pos="5040"/>
          <w:tab w:val="left" w:pos="7780"/>
        </w:tabs>
      </w:pPr>
    </w:p>
    <w:p w14:paraId="019A3FBB" w14:textId="77777777" w:rsidR="00FB3E11" w:rsidRDefault="00FB3E11" w:rsidP="00C31209">
      <w:pPr>
        <w:tabs>
          <w:tab w:val="left" w:pos="5040"/>
          <w:tab w:val="left" w:pos="7780"/>
        </w:tabs>
      </w:pPr>
    </w:p>
    <w:p w14:paraId="158B9CDD" w14:textId="77777777" w:rsidR="00FB3E11" w:rsidRDefault="00FB3E11" w:rsidP="00C31209">
      <w:pPr>
        <w:tabs>
          <w:tab w:val="left" w:pos="5040"/>
          <w:tab w:val="left" w:pos="7780"/>
        </w:tabs>
      </w:pPr>
    </w:p>
    <w:p w14:paraId="280D790B" w14:textId="77777777" w:rsidR="00DF620E" w:rsidRDefault="00DF620E" w:rsidP="00C31209">
      <w:pPr>
        <w:tabs>
          <w:tab w:val="left" w:pos="5040"/>
          <w:tab w:val="left" w:pos="7780"/>
        </w:tabs>
      </w:pPr>
    </w:p>
    <w:p w14:paraId="3B7E86D0" w14:textId="77777777" w:rsidR="00762929" w:rsidRDefault="00762929" w:rsidP="00C31209">
      <w:pPr>
        <w:tabs>
          <w:tab w:val="left" w:pos="5040"/>
          <w:tab w:val="left" w:pos="7780"/>
        </w:tabs>
      </w:pPr>
      <w:bookmarkStart w:id="0" w:name="_GoBack"/>
      <w:bookmarkEnd w:id="0"/>
      <w:r>
        <w:rPr>
          <w:b/>
        </w:rPr>
        <w:lastRenderedPageBreak/>
        <w:t>STATE CERTIFICATION</w:t>
      </w:r>
    </w:p>
    <w:p w14:paraId="0006B282" w14:textId="77777777" w:rsidR="00762929" w:rsidRDefault="00762929" w:rsidP="00C31209">
      <w:pPr>
        <w:tabs>
          <w:tab w:val="left" w:pos="5040"/>
          <w:tab w:val="left" w:pos="7780"/>
        </w:tabs>
      </w:pPr>
    </w:p>
    <w:p w14:paraId="1BFAC9A5" w14:textId="0BEB5DE2" w:rsidR="00762929" w:rsidRDefault="00762929" w:rsidP="00C31209">
      <w:pPr>
        <w:tabs>
          <w:tab w:val="left" w:pos="5040"/>
          <w:tab w:val="left" w:pos="7780"/>
        </w:tabs>
      </w:pPr>
      <w:r>
        <w:t xml:space="preserve">The </w:t>
      </w:r>
      <w:r w:rsidR="00A57234">
        <w:t>C</w:t>
      </w:r>
      <w:r>
        <w:t xml:space="preserve">ommonwealth of Pennsylvania submits the following certification, as required by 45 </w:t>
      </w:r>
      <w:smartTag w:uri="urn:schemas-microsoft-com:office:smarttags" w:element="stockticker">
        <w:r>
          <w:t>CF</w:t>
        </w:r>
        <w:r w:rsidR="00367B6A">
          <w:t>R</w:t>
        </w:r>
      </w:smartTag>
      <w:r>
        <w:t xml:space="preserve">, </w:t>
      </w:r>
      <w:r w:rsidR="00367B6A">
        <w:t>Section</w:t>
      </w:r>
      <w:r>
        <w:t>1397.10(e) and (f) for Federal Fiscal Year 20</w:t>
      </w:r>
      <w:r w:rsidR="00AC29FF">
        <w:t>21</w:t>
      </w:r>
      <w:r>
        <w:t>.</w:t>
      </w:r>
    </w:p>
    <w:p w14:paraId="7F167D0E" w14:textId="77777777" w:rsidR="00762929" w:rsidRDefault="00762929" w:rsidP="00C31209">
      <w:pPr>
        <w:tabs>
          <w:tab w:val="left" w:pos="5040"/>
          <w:tab w:val="left" w:pos="7780"/>
        </w:tabs>
      </w:pPr>
    </w:p>
    <w:p w14:paraId="1CC87FD1" w14:textId="77777777" w:rsidR="00337DDC" w:rsidRPr="00337DDC" w:rsidRDefault="00762929" w:rsidP="00337DDC">
      <w:pPr>
        <w:numPr>
          <w:ilvl w:val="0"/>
          <w:numId w:val="1"/>
        </w:numPr>
        <w:tabs>
          <w:tab w:val="left" w:pos="5040"/>
          <w:tab w:val="left" w:pos="7780"/>
        </w:tabs>
        <w:rPr>
          <w:szCs w:val="24"/>
        </w:rPr>
      </w:pPr>
      <w:r>
        <w:t xml:space="preserve">Two State Agencies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are responsible for establishing, maintaining, and ensuring</w:t>
      </w:r>
      <w:r w:rsidR="00337DDC">
        <w:t xml:space="preserve"> the enforcement of standards for residential</w:t>
      </w:r>
      <w:r w:rsidR="001609E9" w:rsidRPr="001609E9">
        <w:t xml:space="preserve"> </w:t>
      </w:r>
      <w:r w:rsidR="00337DDC">
        <w:t xml:space="preserve">facilities in which significant numbers of SSI recipients are likely to reside in accordance with 45 </w:t>
      </w:r>
      <w:smartTag w:uri="urn:schemas-microsoft-com:office:smarttags" w:element="stockticker">
        <w:r w:rsidR="00337DDC">
          <w:t>CF</w:t>
        </w:r>
        <w:r w:rsidR="00367B6A">
          <w:t>R</w:t>
        </w:r>
      </w:smartTag>
      <w:r w:rsidR="00337DDC">
        <w:t>, Section 1397.10.  These agencies are:</w:t>
      </w:r>
      <w:r w:rsidR="001609E9" w:rsidRPr="001609E9">
        <w:t xml:space="preserve"> </w:t>
      </w:r>
    </w:p>
    <w:p w14:paraId="52DC46F9" w14:textId="77777777" w:rsidR="00337DDC" w:rsidRDefault="00337DDC" w:rsidP="00337DDC">
      <w:pPr>
        <w:tabs>
          <w:tab w:val="left" w:pos="5040"/>
          <w:tab w:val="left" w:pos="7780"/>
        </w:tabs>
      </w:pPr>
    </w:p>
    <w:p w14:paraId="679B9453" w14:textId="77777777" w:rsidR="00337DDC" w:rsidRDefault="00337DDC" w:rsidP="00337DDC">
      <w:pPr>
        <w:tabs>
          <w:tab w:val="left" w:pos="1440"/>
          <w:tab w:val="left" w:pos="5040"/>
          <w:tab w:val="left" w:pos="7780"/>
        </w:tabs>
      </w:pPr>
      <w:r>
        <w:tab/>
        <w:t xml:space="preserve">The Department of </w:t>
      </w:r>
      <w:r w:rsidR="00B60F77">
        <w:t>Human Services</w:t>
      </w:r>
    </w:p>
    <w:p w14:paraId="56961422" w14:textId="77777777" w:rsidR="00337DDC" w:rsidRDefault="00337DDC" w:rsidP="00337DDC">
      <w:pPr>
        <w:tabs>
          <w:tab w:val="left" w:pos="1440"/>
          <w:tab w:val="left" w:pos="5040"/>
          <w:tab w:val="left" w:pos="7780"/>
        </w:tabs>
      </w:pPr>
      <w:r>
        <w:tab/>
        <w:t>The Department of Labor and Industry</w:t>
      </w:r>
      <w:r w:rsidR="001609E9" w:rsidRPr="001609E9">
        <w:t xml:space="preserve">  </w:t>
      </w:r>
    </w:p>
    <w:p w14:paraId="568F5057" w14:textId="77777777" w:rsidR="00337DDC" w:rsidRDefault="00337DDC" w:rsidP="00337DDC">
      <w:pPr>
        <w:tabs>
          <w:tab w:val="left" w:pos="1440"/>
          <w:tab w:val="left" w:pos="5040"/>
          <w:tab w:val="left" w:pos="7780"/>
        </w:tabs>
      </w:pPr>
    </w:p>
    <w:p w14:paraId="5309FA56" w14:textId="77777777" w:rsidR="00C63E08" w:rsidRDefault="00337DDC" w:rsidP="00337DDC">
      <w:pPr>
        <w:tabs>
          <w:tab w:val="left" w:pos="1440"/>
          <w:tab w:val="left" w:pos="5040"/>
          <w:tab w:val="left" w:pos="7780"/>
        </w:tabs>
      </w:pPr>
      <w:r>
        <w:t xml:space="preserve">The </w:t>
      </w:r>
      <w:r w:rsidR="00C63E08">
        <w:t>Department</w:t>
      </w:r>
      <w:r>
        <w:t xml:space="preserve"> of Labor and Industry is responsible for standards relating to life safety.  The </w:t>
      </w:r>
      <w:r w:rsidR="00C63E08">
        <w:t xml:space="preserve">Department of </w:t>
      </w:r>
      <w:r w:rsidR="00B60F77">
        <w:t>Human Services</w:t>
      </w:r>
      <w:r w:rsidR="00C63E08">
        <w:t xml:space="preserve"> is responsible for the program standards governing the facilities listed below:</w:t>
      </w:r>
    </w:p>
    <w:p w14:paraId="40D5A230" w14:textId="77777777" w:rsidR="00C63E08" w:rsidRDefault="00C63E08" w:rsidP="00337DDC">
      <w:pPr>
        <w:tabs>
          <w:tab w:val="left" w:pos="1440"/>
          <w:tab w:val="left" w:pos="5040"/>
          <w:tab w:val="left" w:pos="7780"/>
        </w:tabs>
      </w:pPr>
    </w:p>
    <w:p w14:paraId="5EBBE952" w14:textId="77777777" w:rsidR="00C63E08" w:rsidRDefault="00C63E08" w:rsidP="00337DDC">
      <w:pPr>
        <w:tabs>
          <w:tab w:val="left" w:pos="1440"/>
          <w:tab w:val="left" w:pos="5040"/>
          <w:tab w:val="left" w:pos="7780"/>
        </w:tabs>
      </w:pPr>
      <w:r>
        <w:tab/>
        <w:t>Domiciliary Care Program of Adults</w:t>
      </w:r>
    </w:p>
    <w:p w14:paraId="69F2DF7B" w14:textId="77777777" w:rsidR="00C63E08" w:rsidRDefault="00C63E08" w:rsidP="00337DDC">
      <w:pPr>
        <w:tabs>
          <w:tab w:val="left" w:pos="1440"/>
          <w:tab w:val="left" w:pos="5040"/>
          <w:tab w:val="left" w:pos="7780"/>
        </w:tabs>
      </w:pPr>
      <w:r>
        <w:tab/>
        <w:t>Child Residential and Day Treatment Facilities</w:t>
      </w:r>
    </w:p>
    <w:p w14:paraId="257452B8" w14:textId="77777777" w:rsidR="00C63E08" w:rsidRDefault="00C63E08" w:rsidP="00337DDC">
      <w:pPr>
        <w:tabs>
          <w:tab w:val="left" w:pos="1440"/>
          <w:tab w:val="left" w:pos="5040"/>
          <w:tab w:val="left" w:pos="7780"/>
        </w:tabs>
      </w:pPr>
      <w:r>
        <w:tab/>
        <w:t>Community Residential Rehabilitation Facilities</w:t>
      </w:r>
    </w:p>
    <w:p w14:paraId="7A9618EF" w14:textId="77777777" w:rsidR="00C63E08" w:rsidRDefault="00C63E08" w:rsidP="00337DDC">
      <w:pPr>
        <w:tabs>
          <w:tab w:val="left" w:pos="1440"/>
          <w:tab w:val="left" w:pos="5040"/>
          <w:tab w:val="left" w:pos="7780"/>
        </w:tabs>
      </w:pPr>
      <w:r>
        <w:tab/>
        <w:t>Community Homes for Individuals with Mental Retardation</w:t>
      </w:r>
    </w:p>
    <w:p w14:paraId="6B477C96" w14:textId="77777777" w:rsidR="00C63E08" w:rsidRDefault="00C63E08" w:rsidP="00337DDC">
      <w:pPr>
        <w:tabs>
          <w:tab w:val="left" w:pos="1440"/>
          <w:tab w:val="left" w:pos="5040"/>
          <w:tab w:val="left" w:pos="7780"/>
        </w:tabs>
      </w:pPr>
      <w:r>
        <w:tab/>
        <w:t>Personal Care Homes for Adults</w:t>
      </w:r>
    </w:p>
    <w:p w14:paraId="308378C2" w14:textId="77777777" w:rsidR="00C63E08" w:rsidRDefault="00C63E08" w:rsidP="00337DDC">
      <w:pPr>
        <w:tabs>
          <w:tab w:val="left" w:pos="1440"/>
          <w:tab w:val="left" w:pos="5040"/>
          <w:tab w:val="left" w:pos="7780"/>
        </w:tabs>
      </w:pPr>
      <w:r>
        <w:tab/>
        <w:t>Family Living Homes</w:t>
      </w:r>
    </w:p>
    <w:p w14:paraId="3EBC8477" w14:textId="77777777" w:rsidR="00C63E08" w:rsidRDefault="00C63E08" w:rsidP="00337DDC">
      <w:pPr>
        <w:tabs>
          <w:tab w:val="left" w:pos="1440"/>
          <w:tab w:val="left" w:pos="5040"/>
          <w:tab w:val="left" w:pos="7780"/>
        </w:tabs>
      </w:pPr>
      <w:r>
        <w:tab/>
        <w:t>Long Term Structured Residences</w:t>
      </w:r>
    </w:p>
    <w:p w14:paraId="6132A8D6" w14:textId="77777777" w:rsidR="00C63E08" w:rsidRDefault="00C63E08" w:rsidP="00337DDC">
      <w:pPr>
        <w:tabs>
          <w:tab w:val="left" w:pos="1440"/>
          <w:tab w:val="left" w:pos="5040"/>
          <w:tab w:val="left" w:pos="7780"/>
        </w:tabs>
      </w:pPr>
    </w:p>
    <w:p w14:paraId="6F841140" w14:textId="77777777" w:rsidR="001609E9" w:rsidRPr="00B37B95" w:rsidRDefault="00B37B95" w:rsidP="00C63E08">
      <w:pPr>
        <w:numPr>
          <w:ilvl w:val="0"/>
          <w:numId w:val="1"/>
        </w:numPr>
        <w:tabs>
          <w:tab w:val="left" w:pos="1440"/>
          <w:tab w:val="left" w:pos="5040"/>
          <w:tab w:val="left" w:pos="7780"/>
        </w:tabs>
        <w:rPr>
          <w:szCs w:val="24"/>
        </w:rPr>
      </w:pPr>
      <w:r>
        <w:t xml:space="preserve">The Department of </w:t>
      </w:r>
      <w:r w:rsidR="00B60F77">
        <w:t>Human Services</w:t>
      </w:r>
      <w:r>
        <w:t xml:space="preserve"> has been identified as the single state agency responsible for the certification by the laws and regulations related to the Keys Amendment.</w:t>
      </w:r>
    </w:p>
    <w:p w14:paraId="3896B997" w14:textId="77777777" w:rsidR="00B37B95" w:rsidRDefault="00B37B95" w:rsidP="00B37B95">
      <w:pPr>
        <w:tabs>
          <w:tab w:val="left" w:pos="1440"/>
          <w:tab w:val="left" w:pos="5040"/>
          <w:tab w:val="left" w:pos="7780"/>
        </w:tabs>
      </w:pPr>
    </w:p>
    <w:p w14:paraId="095A9AB8" w14:textId="77777777" w:rsidR="00B37B95" w:rsidRPr="00B37B95" w:rsidRDefault="00B37B95" w:rsidP="00B37B95">
      <w:pPr>
        <w:numPr>
          <w:ilvl w:val="0"/>
          <w:numId w:val="1"/>
        </w:numPr>
        <w:tabs>
          <w:tab w:val="left" w:pos="1440"/>
          <w:tab w:val="left" w:pos="5040"/>
          <w:tab w:val="left" w:pos="7780"/>
        </w:tabs>
        <w:rPr>
          <w:szCs w:val="24"/>
        </w:rPr>
      </w:pPr>
      <w:r>
        <w:t xml:space="preserve">The </w:t>
      </w:r>
      <w:r w:rsidR="00A57234">
        <w:t>C</w:t>
      </w:r>
      <w:r>
        <w:t xml:space="preserve">ommonwealth assures that information about standards, enforcement procedures, waivers of standards, and violations of standards by specific facilities has been made available for public review, as required by 45 </w:t>
      </w:r>
      <w:smartTag w:uri="urn:schemas-microsoft-com:office:smarttags" w:element="stockticker">
        <w:r>
          <w:t>CF</w:t>
        </w:r>
        <w:r w:rsidR="00367B6A">
          <w:t>R</w:t>
        </w:r>
      </w:smartTag>
      <w:r>
        <w:t>, Section 1397.109(c) and 1397.20(d)(2).</w:t>
      </w:r>
    </w:p>
    <w:p w14:paraId="73EE358B" w14:textId="77777777" w:rsidR="00B37B95" w:rsidRDefault="00B37B95" w:rsidP="00B37B95">
      <w:pPr>
        <w:tabs>
          <w:tab w:val="left" w:pos="1440"/>
          <w:tab w:val="left" w:pos="5040"/>
          <w:tab w:val="left" w:pos="7780"/>
        </w:tabs>
        <w:rPr>
          <w:szCs w:val="24"/>
        </w:rPr>
      </w:pPr>
    </w:p>
    <w:p w14:paraId="14891840" w14:textId="77777777" w:rsidR="00A57234" w:rsidRDefault="00A57234" w:rsidP="00B37B95">
      <w:pPr>
        <w:tabs>
          <w:tab w:val="left" w:pos="1440"/>
          <w:tab w:val="left" w:pos="5040"/>
          <w:tab w:val="left" w:pos="7780"/>
        </w:tabs>
      </w:pPr>
    </w:p>
    <w:p w14:paraId="6A740160" w14:textId="77777777" w:rsidR="001A0A6D" w:rsidRDefault="001A0A6D" w:rsidP="00B37B95">
      <w:pPr>
        <w:tabs>
          <w:tab w:val="left" w:pos="1440"/>
          <w:tab w:val="left" w:pos="5040"/>
          <w:tab w:val="left" w:pos="7780"/>
        </w:tabs>
      </w:pPr>
    </w:p>
    <w:p w14:paraId="7F65AD91" w14:textId="77777777" w:rsidR="001A0A6D" w:rsidRDefault="001A0A6D" w:rsidP="001A0A6D">
      <w:pPr>
        <w:numPr>
          <w:ilvl w:val="0"/>
          <w:numId w:val="1"/>
        </w:numPr>
        <w:tabs>
          <w:tab w:val="left" w:pos="1440"/>
          <w:tab w:val="left" w:pos="5040"/>
          <w:tab w:val="left" w:pos="7780"/>
        </w:tabs>
        <w:rPr>
          <w:szCs w:val="24"/>
        </w:rPr>
      </w:pPr>
      <w:r>
        <w:rPr>
          <w:szCs w:val="24"/>
        </w:rPr>
        <w:t>The names and addresses of facilities that are in violation of the above standards and regulations are reported to the relevant Social Security Administration Regional Office in accordance with 45 CFR, Section 1397.20(c).</w:t>
      </w:r>
    </w:p>
    <w:p w14:paraId="7AC090E1" w14:textId="77777777" w:rsidR="001A0A6D" w:rsidRDefault="001A0A6D" w:rsidP="001A0A6D">
      <w:pPr>
        <w:tabs>
          <w:tab w:val="left" w:pos="1440"/>
          <w:tab w:val="left" w:pos="5040"/>
          <w:tab w:val="left" w:pos="7780"/>
        </w:tabs>
        <w:rPr>
          <w:szCs w:val="24"/>
        </w:rPr>
      </w:pPr>
    </w:p>
    <w:p w14:paraId="4882F5A8" w14:textId="77777777" w:rsidR="001A0A6D" w:rsidRDefault="001A0A6D" w:rsidP="001A0A6D">
      <w:pPr>
        <w:tabs>
          <w:tab w:val="left" w:pos="1440"/>
          <w:tab w:val="left" w:pos="5040"/>
          <w:tab w:val="left" w:pos="7780"/>
        </w:tabs>
        <w:rPr>
          <w:szCs w:val="24"/>
        </w:rPr>
      </w:pPr>
    </w:p>
    <w:p w14:paraId="631719DA" w14:textId="77777777" w:rsidR="001A0A6D" w:rsidRDefault="001A0A6D" w:rsidP="001A0A6D">
      <w:pPr>
        <w:tabs>
          <w:tab w:val="left" w:pos="1440"/>
          <w:tab w:val="left" w:pos="5040"/>
          <w:tab w:val="left" w:pos="7780"/>
        </w:tabs>
        <w:rPr>
          <w:szCs w:val="24"/>
        </w:rPr>
      </w:pPr>
    </w:p>
    <w:p w14:paraId="0847A8A6" w14:textId="77777777" w:rsidR="001A0A6D" w:rsidRDefault="001A0A6D" w:rsidP="001A0A6D">
      <w:pPr>
        <w:tabs>
          <w:tab w:val="left" w:pos="1440"/>
          <w:tab w:val="left" w:pos="5040"/>
          <w:tab w:val="left" w:pos="7780"/>
        </w:tabs>
        <w:rPr>
          <w:szCs w:val="24"/>
        </w:rPr>
      </w:pPr>
    </w:p>
    <w:p w14:paraId="401DA3B9" w14:textId="6695B69C" w:rsidR="001A0A6D" w:rsidRDefault="001A0A6D" w:rsidP="001A0A6D">
      <w:pPr>
        <w:tabs>
          <w:tab w:val="left" w:pos="1440"/>
          <w:tab w:val="left" w:pos="5040"/>
          <w:tab w:val="left" w:pos="7780"/>
        </w:tabs>
        <w:rPr>
          <w:szCs w:val="24"/>
        </w:rPr>
      </w:pPr>
      <w:r>
        <w:rPr>
          <w:szCs w:val="24"/>
        </w:rPr>
        <w:t xml:space="preserve">                      _</w:t>
      </w:r>
      <w:r w:rsidR="00AC29FF">
        <w:rPr>
          <w:noProof/>
          <w:szCs w:val="24"/>
        </w:rPr>
        <w:drawing>
          <wp:inline distT="0" distB="0" distL="0" distR="0" wp14:anchorId="188B6374" wp14:editId="278B0BC4">
            <wp:extent cx="1767993" cy="3505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b's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767993" cy="350550"/>
                    </a:xfrm>
                    <a:prstGeom prst="rect">
                      <a:avLst/>
                    </a:prstGeom>
                  </pic:spPr>
                </pic:pic>
              </a:graphicData>
            </a:graphic>
          </wp:inline>
        </w:drawing>
      </w:r>
      <w:r>
        <w:rPr>
          <w:szCs w:val="24"/>
        </w:rPr>
        <w:t>__________________________________________</w:t>
      </w:r>
    </w:p>
    <w:p w14:paraId="4C1ECB9E" w14:textId="77777777" w:rsidR="001A0A6D" w:rsidRDefault="001A0A6D" w:rsidP="001A0A6D">
      <w:pPr>
        <w:tabs>
          <w:tab w:val="left" w:pos="1440"/>
          <w:tab w:val="left" w:pos="5040"/>
          <w:tab w:val="left" w:pos="7780"/>
        </w:tabs>
        <w:rPr>
          <w:szCs w:val="24"/>
        </w:rPr>
      </w:pPr>
      <w:r>
        <w:rPr>
          <w:szCs w:val="24"/>
        </w:rPr>
        <w:tab/>
        <w:t>Robert Robinson, Director</w:t>
      </w:r>
    </w:p>
    <w:p w14:paraId="54765D50" w14:textId="77777777" w:rsidR="001A0A6D" w:rsidRDefault="001A0A6D" w:rsidP="001A0A6D">
      <w:pPr>
        <w:tabs>
          <w:tab w:val="left" w:pos="1440"/>
          <w:tab w:val="left" w:pos="5040"/>
          <w:tab w:val="left" w:pos="7780"/>
        </w:tabs>
        <w:rPr>
          <w:szCs w:val="24"/>
        </w:rPr>
      </w:pPr>
      <w:r>
        <w:rPr>
          <w:szCs w:val="24"/>
        </w:rPr>
        <w:tab/>
        <w:t xml:space="preserve">Human Services Licensing </w:t>
      </w:r>
      <w:r w:rsidR="00B55F7C">
        <w:rPr>
          <w:szCs w:val="24"/>
        </w:rPr>
        <w:t>Administration</w:t>
      </w:r>
      <w:r>
        <w:rPr>
          <w:szCs w:val="24"/>
        </w:rPr>
        <w:t xml:space="preserve"> </w:t>
      </w:r>
    </w:p>
    <w:p w14:paraId="5BE6BC00" w14:textId="77777777" w:rsidR="001A0A6D" w:rsidRDefault="001A0A6D" w:rsidP="001A0A6D">
      <w:pPr>
        <w:tabs>
          <w:tab w:val="left" w:pos="1440"/>
          <w:tab w:val="left" w:pos="5040"/>
          <w:tab w:val="left" w:pos="7780"/>
        </w:tabs>
        <w:rPr>
          <w:szCs w:val="24"/>
        </w:rPr>
      </w:pPr>
      <w:r>
        <w:rPr>
          <w:szCs w:val="24"/>
        </w:rPr>
        <w:tab/>
        <w:t xml:space="preserve">Department of </w:t>
      </w:r>
      <w:r w:rsidR="00B60F77">
        <w:rPr>
          <w:szCs w:val="24"/>
        </w:rPr>
        <w:t>Human Services</w:t>
      </w:r>
    </w:p>
    <w:p w14:paraId="3DC72218" w14:textId="77777777" w:rsidR="001A0A6D" w:rsidRPr="001609E9" w:rsidRDefault="001A0A6D" w:rsidP="001A0A6D">
      <w:pPr>
        <w:tabs>
          <w:tab w:val="left" w:pos="1440"/>
          <w:tab w:val="left" w:pos="5040"/>
          <w:tab w:val="left" w:pos="7780"/>
        </w:tabs>
        <w:rPr>
          <w:szCs w:val="24"/>
        </w:rPr>
      </w:pPr>
      <w:r>
        <w:rPr>
          <w:szCs w:val="24"/>
        </w:rPr>
        <w:tab/>
      </w:r>
      <w:smartTag w:uri="urn:schemas-microsoft-com:office:smarttags" w:element="place">
        <w:smartTag w:uri="urn:schemas-microsoft-com:office:smarttags" w:element="PlaceType">
          <w:r>
            <w:rPr>
              <w:szCs w:val="24"/>
            </w:rPr>
            <w:t>Commonwealth</w:t>
          </w:r>
        </w:smartTag>
        <w:r>
          <w:rPr>
            <w:szCs w:val="24"/>
          </w:rPr>
          <w:t xml:space="preserve"> of </w:t>
        </w:r>
        <w:smartTag w:uri="urn:schemas-microsoft-com:office:smarttags" w:element="PlaceName">
          <w:r>
            <w:rPr>
              <w:szCs w:val="24"/>
            </w:rPr>
            <w:t>Pennsylvania</w:t>
          </w:r>
        </w:smartTag>
      </w:smartTag>
    </w:p>
    <w:sectPr w:rsidR="001A0A6D" w:rsidRPr="001609E9" w:rsidSect="00411ACA">
      <w:headerReference w:type="even" r:id="rId10"/>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0D52" w14:textId="77777777" w:rsidR="00AF6A3B" w:rsidRDefault="00AF6A3B">
      <w:r>
        <w:separator/>
      </w:r>
    </w:p>
  </w:endnote>
  <w:endnote w:type="continuationSeparator" w:id="0">
    <w:p w14:paraId="3F18048E" w14:textId="77777777" w:rsidR="00AF6A3B" w:rsidRDefault="00AF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WP Ico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B2420" w14:textId="77777777" w:rsidR="00AF6A3B" w:rsidRDefault="00AF6A3B">
      <w:r>
        <w:separator/>
      </w:r>
    </w:p>
  </w:footnote>
  <w:footnote w:type="continuationSeparator" w:id="0">
    <w:p w14:paraId="71985F85" w14:textId="77777777" w:rsidR="00AF6A3B" w:rsidRDefault="00AF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D23C" w14:textId="77777777" w:rsidR="008D7F01" w:rsidRDefault="00C67954" w:rsidP="00D01101">
    <w:pPr>
      <w:pStyle w:val="Header"/>
      <w:framePr w:wrap="around" w:vAnchor="text" w:hAnchor="margin" w:xAlign="center" w:y="1"/>
      <w:rPr>
        <w:rStyle w:val="PageNumber"/>
      </w:rPr>
    </w:pPr>
    <w:r>
      <w:rPr>
        <w:rStyle w:val="PageNumber"/>
      </w:rPr>
      <w:fldChar w:fldCharType="begin"/>
    </w:r>
    <w:r w:rsidR="008D7F01">
      <w:rPr>
        <w:rStyle w:val="PageNumber"/>
      </w:rPr>
      <w:instrText xml:space="preserve">PAGE  </w:instrText>
    </w:r>
    <w:r>
      <w:rPr>
        <w:rStyle w:val="PageNumber"/>
      </w:rPr>
      <w:fldChar w:fldCharType="end"/>
    </w:r>
  </w:p>
  <w:p w14:paraId="6B1FFA39" w14:textId="77777777" w:rsidR="008D7F01" w:rsidRDefault="008D7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BA5D" w14:textId="77777777" w:rsidR="008D7F01" w:rsidRDefault="008D7F01" w:rsidP="00D01101">
    <w:pPr>
      <w:pStyle w:val="Header"/>
      <w:framePr w:wrap="around" w:vAnchor="text" w:hAnchor="margin" w:xAlign="center" w:y="1"/>
      <w:rPr>
        <w:rStyle w:val="PageNumber"/>
      </w:rPr>
    </w:pPr>
    <w:r>
      <w:rPr>
        <w:rStyle w:val="PageNumber"/>
      </w:rPr>
      <w:t>-</w:t>
    </w:r>
    <w:r w:rsidR="00C67954">
      <w:rPr>
        <w:rStyle w:val="PageNumber"/>
      </w:rPr>
      <w:fldChar w:fldCharType="begin"/>
    </w:r>
    <w:r>
      <w:rPr>
        <w:rStyle w:val="PageNumber"/>
      </w:rPr>
      <w:instrText xml:space="preserve">PAGE  </w:instrText>
    </w:r>
    <w:r w:rsidR="00C67954">
      <w:rPr>
        <w:rStyle w:val="PageNumber"/>
      </w:rPr>
      <w:fldChar w:fldCharType="separate"/>
    </w:r>
    <w:r w:rsidR="004B286D">
      <w:rPr>
        <w:rStyle w:val="PageNumber"/>
        <w:noProof/>
      </w:rPr>
      <w:t>2</w:t>
    </w:r>
    <w:r w:rsidR="00C67954">
      <w:rPr>
        <w:rStyle w:val="PageNumber"/>
      </w:rPr>
      <w:fldChar w:fldCharType="end"/>
    </w:r>
    <w:r>
      <w:rPr>
        <w:rStyle w:val="PageNumber"/>
      </w:rPr>
      <w:t>-</w:t>
    </w:r>
  </w:p>
  <w:p w14:paraId="1EA17122" w14:textId="77777777" w:rsidR="008D7F01" w:rsidRDefault="008D7F01">
    <w:pPr>
      <w:pStyle w:val="Header"/>
    </w:pPr>
  </w:p>
  <w:p w14:paraId="327DD5AE" w14:textId="77777777" w:rsidR="008D7F01" w:rsidRDefault="008D7F01">
    <w:pPr>
      <w:pStyle w:val="Header"/>
    </w:pPr>
  </w:p>
  <w:p w14:paraId="207B541F" w14:textId="77777777" w:rsidR="008D7F01" w:rsidRDefault="008D7F01">
    <w:pPr>
      <w:pStyle w:val="Header"/>
    </w:pPr>
  </w:p>
  <w:p w14:paraId="3656EFEC" w14:textId="77777777" w:rsidR="008D7F01" w:rsidRDefault="008D7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279"/>
    <w:multiLevelType w:val="hybridMultilevel"/>
    <w:tmpl w:val="B8FC36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2ED214B"/>
    <w:multiLevelType w:val="hybridMultilevel"/>
    <w:tmpl w:val="E75AEF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4747F8A"/>
    <w:multiLevelType w:val="hybridMultilevel"/>
    <w:tmpl w:val="4A3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51100C"/>
    <w:multiLevelType w:val="hybridMultilevel"/>
    <w:tmpl w:val="B4222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163"/>
    <w:rsid w:val="000123A8"/>
    <w:rsid w:val="0001481B"/>
    <w:rsid w:val="000869C1"/>
    <w:rsid w:val="000D20EE"/>
    <w:rsid w:val="00135B00"/>
    <w:rsid w:val="001609E9"/>
    <w:rsid w:val="0016798C"/>
    <w:rsid w:val="001A0A6D"/>
    <w:rsid w:val="001E346A"/>
    <w:rsid w:val="00204782"/>
    <w:rsid w:val="002334FA"/>
    <w:rsid w:val="00246BCD"/>
    <w:rsid w:val="00252EFC"/>
    <w:rsid w:val="00271EC7"/>
    <w:rsid w:val="00310018"/>
    <w:rsid w:val="00332273"/>
    <w:rsid w:val="00337DDC"/>
    <w:rsid w:val="00355283"/>
    <w:rsid w:val="0035783C"/>
    <w:rsid w:val="00367B6A"/>
    <w:rsid w:val="003B7163"/>
    <w:rsid w:val="00411ACA"/>
    <w:rsid w:val="00416819"/>
    <w:rsid w:val="00471DCB"/>
    <w:rsid w:val="00494D73"/>
    <w:rsid w:val="004B286D"/>
    <w:rsid w:val="0050176C"/>
    <w:rsid w:val="005335AE"/>
    <w:rsid w:val="0055303C"/>
    <w:rsid w:val="005B0747"/>
    <w:rsid w:val="005C0106"/>
    <w:rsid w:val="005D62ED"/>
    <w:rsid w:val="00606643"/>
    <w:rsid w:val="006B3D71"/>
    <w:rsid w:val="006B5F07"/>
    <w:rsid w:val="006F2C66"/>
    <w:rsid w:val="00762929"/>
    <w:rsid w:val="007A2CB8"/>
    <w:rsid w:val="007B6065"/>
    <w:rsid w:val="008253B7"/>
    <w:rsid w:val="008D3904"/>
    <w:rsid w:val="008D7F01"/>
    <w:rsid w:val="00920422"/>
    <w:rsid w:val="00921316"/>
    <w:rsid w:val="00954EAC"/>
    <w:rsid w:val="00972F0F"/>
    <w:rsid w:val="009947EE"/>
    <w:rsid w:val="00A56C35"/>
    <w:rsid w:val="00A57234"/>
    <w:rsid w:val="00A75944"/>
    <w:rsid w:val="00AC29FF"/>
    <w:rsid w:val="00AF6243"/>
    <w:rsid w:val="00AF6A3B"/>
    <w:rsid w:val="00AF7A6D"/>
    <w:rsid w:val="00B37B95"/>
    <w:rsid w:val="00B55F7C"/>
    <w:rsid w:val="00B571A7"/>
    <w:rsid w:val="00B60F77"/>
    <w:rsid w:val="00B66354"/>
    <w:rsid w:val="00B8196B"/>
    <w:rsid w:val="00B82E2A"/>
    <w:rsid w:val="00BF4A79"/>
    <w:rsid w:val="00C13069"/>
    <w:rsid w:val="00C31209"/>
    <w:rsid w:val="00C376B2"/>
    <w:rsid w:val="00C63E08"/>
    <w:rsid w:val="00C67954"/>
    <w:rsid w:val="00C711D8"/>
    <w:rsid w:val="00C85438"/>
    <w:rsid w:val="00D01101"/>
    <w:rsid w:val="00D22B41"/>
    <w:rsid w:val="00DA2D27"/>
    <w:rsid w:val="00DC6030"/>
    <w:rsid w:val="00DF620E"/>
    <w:rsid w:val="00E91934"/>
    <w:rsid w:val="00EF04BE"/>
    <w:rsid w:val="00F81860"/>
    <w:rsid w:val="00F87CFC"/>
    <w:rsid w:val="00FA28BE"/>
    <w:rsid w:val="00FB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443CEAB"/>
  <w15:docId w15:val="{1D080367-C6D7-4888-A8B8-05061DA3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B2"/>
    <w:rPr>
      <w:rFonts w:ascii="Arial" w:hAnsi="Arial"/>
      <w:sz w:val="24"/>
    </w:rPr>
  </w:style>
  <w:style w:type="paragraph" w:styleId="Heading1">
    <w:name w:val="heading 1"/>
    <w:basedOn w:val="Normal"/>
    <w:next w:val="Normal"/>
    <w:qFormat/>
    <w:rsid w:val="0016798C"/>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3D71"/>
    <w:rPr>
      <w:rFonts w:ascii="Tahoma" w:hAnsi="Tahoma" w:cs="Tahoma"/>
      <w:sz w:val="16"/>
      <w:szCs w:val="16"/>
    </w:rPr>
  </w:style>
  <w:style w:type="paragraph" w:styleId="Header">
    <w:name w:val="header"/>
    <w:basedOn w:val="Normal"/>
    <w:rsid w:val="00D01101"/>
    <w:pPr>
      <w:tabs>
        <w:tab w:val="center" w:pos="4320"/>
        <w:tab w:val="right" w:pos="8640"/>
      </w:tabs>
    </w:pPr>
  </w:style>
  <w:style w:type="paragraph" w:styleId="Footer">
    <w:name w:val="footer"/>
    <w:basedOn w:val="Normal"/>
    <w:rsid w:val="00D01101"/>
    <w:pPr>
      <w:tabs>
        <w:tab w:val="center" w:pos="4320"/>
        <w:tab w:val="right" w:pos="8640"/>
      </w:tabs>
    </w:pPr>
  </w:style>
  <w:style w:type="character" w:styleId="PageNumber">
    <w:name w:val="page number"/>
    <w:basedOn w:val="DefaultParagraphFont"/>
    <w:rsid w:val="00D0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orales\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DPW</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DPWUSERY</dc:creator>
  <cp:lastModifiedBy>Robinson, Robert (DHS/AD)</cp:lastModifiedBy>
  <cp:revision>3</cp:revision>
  <cp:lastPrinted>2019-03-01T19:43:00Z</cp:lastPrinted>
  <dcterms:created xsi:type="dcterms:W3CDTF">2020-12-24T13:33:00Z</dcterms:created>
  <dcterms:modified xsi:type="dcterms:W3CDTF">2020-12-24T13:33:00Z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