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E60F0" w14:textId="7404F518" w:rsidR="006B07B7" w:rsidRDefault="00F442A9" w:rsidP="00504B2D">
      <w:pPr>
        <w:jc w:val="center"/>
        <w:rPr>
          <w:sz w:val="28"/>
          <w:szCs w:val="28"/>
        </w:rPr>
      </w:pPr>
      <w:r w:rsidRPr="00A05E16">
        <w:rPr>
          <w:sz w:val="28"/>
          <w:szCs w:val="28"/>
        </w:rPr>
        <w:t>Supplemental Revenue Streams</w:t>
      </w:r>
      <w:r w:rsidR="00817717">
        <w:rPr>
          <w:sz w:val="28"/>
          <w:szCs w:val="28"/>
        </w:rPr>
        <w:t xml:space="preserve"> Guidance</w:t>
      </w:r>
      <w:r w:rsidRPr="00A05E16">
        <w:rPr>
          <w:sz w:val="28"/>
          <w:szCs w:val="28"/>
        </w:rPr>
        <w:t xml:space="preserve"> </w:t>
      </w:r>
    </w:p>
    <w:p w14:paraId="73A21D3D" w14:textId="49E025AD" w:rsidR="00771792" w:rsidRPr="006003BD" w:rsidRDefault="00771792" w:rsidP="00771792">
      <w:r w:rsidRPr="006003BD">
        <w:t>The following guidance pertains to states with various supplemental payment programs</w:t>
      </w:r>
      <w:r w:rsidR="006003BD" w:rsidRPr="006003BD">
        <w:t xml:space="preserve"> and guidelines for including such revenue streams in underwriting.</w:t>
      </w:r>
    </w:p>
    <w:tbl>
      <w:tblPr>
        <w:tblStyle w:val="TableGrid"/>
        <w:tblW w:w="0" w:type="auto"/>
        <w:tblLook w:val="04A0" w:firstRow="1" w:lastRow="0" w:firstColumn="1" w:lastColumn="0" w:noHBand="0" w:noVBand="1"/>
      </w:tblPr>
      <w:tblGrid>
        <w:gridCol w:w="1705"/>
        <w:gridCol w:w="7645"/>
      </w:tblGrid>
      <w:tr w:rsidR="00865584" w14:paraId="46BD8A6F" w14:textId="77777777" w:rsidTr="00865584">
        <w:tc>
          <w:tcPr>
            <w:tcW w:w="1705" w:type="dxa"/>
          </w:tcPr>
          <w:p w14:paraId="47909968" w14:textId="729A5737" w:rsidR="00865584" w:rsidRDefault="00865584" w:rsidP="00A05E16">
            <w:pPr>
              <w:rPr>
                <w:sz w:val="28"/>
                <w:szCs w:val="28"/>
              </w:rPr>
            </w:pPr>
            <w:r>
              <w:rPr>
                <w:sz w:val="28"/>
                <w:szCs w:val="28"/>
              </w:rPr>
              <w:t>California</w:t>
            </w:r>
          </w:p>
        </w:tc>
        <w:tc>
          <w:tcPr>
            <w:tcW w:w="7645" w:type="dxa"/>
          </w:tcPr>
          <w:p w14:paraId="4DC2638C" w14:textId="23B00CDF" w:rsidR="004B23E5" w:rsidRDefault="004B23E5" w:rsidP="00A05E16">
            <w:r>
              <w:t>QASP</w:t>
            </w:r>
            <w:r w:rsidR="00A71B7B">
              <w:t xml:space="preserve"> (Quality A</w:t>
            </w:r>
            <w:r w:rsidR="001E4798">
              <w:t>ccountability</w:t>
            </w:r>
            <w:r w:rsidR="00A71B7B">
              <w:t xml:space="preserve"> Supplemental Payment</w:t>
            </w:r>
            <w:r w:rsidR="001E4798">
              <w:t xml:space="preserve"> Program</w:t>
            </w:r>
            <w:r w:rsidR="00A71B7B">
              <w:t>)</w:t>
            </w:r>
          </w:p>
          <w:p w14:paraId="78E658B8" w14:textId="0C27E0AB" w:rsidR="00865584" w:rsidRDefault="00A31034" w:rsidP="00A05E16">
            <w:r w:rsidRPr="00CD134A">
              <w:t>Quality-based revenue add on</w:t>
            </w:r>
            <w:r w:rsidR="00CD134A">
              <w:t xml:space="preserve"> which can be included in appraisal/underwrit</w:t>
            </w:r>
            <w:r w:rsidR="004B23E5">
              <w:t>ing.</w:t>
            </w:r>
          </w:p>
          <w:p w14:paraId="70E2AC1A" w14:textId="42F15330" w:rsidR="007D483D" w:rsidRDefault="007D483D" w:rsidP="00A05E16"/>
          <w:p w14:paraId="3F112816" w14:textId="04C5136A" w:rsidR="007D483D" w:rsidRPr="00B72C1F" w:rsidRDefault="007D483D" w:rsidP="00A05E16">
            <w:pPr>
              <w:rPr>
                <w:rFonts w:cstheme="minorHAnsi"/>
              </w:rPr>
            </w:pPr>
            <w:r w:rsidRPr="00B72C1F">
              <w:rPr>
                <w:rFonts w:cstheme="minorHAnsi"/>
              </w:rPr>
              <w:t xml:space="preserve">QASP has no association with a hospital and is a quality related income stream. It does not need to be counted separately for value.  It can be counted as a part of the regular revenue stream.  </w:t>
            </w:r>
            <w:r w:rsidRPr="00B72C1F">
              <w:rPr>
                <w:rFonts w:cstheme="minorHAnsi"/>
                <w:u w:val="single"/>
              </w:rPr>
              <w:t>The IGT/UPL chart does not need to be included in the Lender Narrative or Loan Committee Memo for projects that include QASP.</w:t>
            </w:r>
          </w:p>
          <w:p w14:paraId="2134EB56" w14:textId="77777777" w:rsidR="00A31034" w:rsidRPr="00CD134A" w:rsidRDefault="00A31034" w:rsidP="00A05E16"/>
          <w:p w14:paraId="115A0D51" w14:textId="144CCD26" w:rsidR="00A31034" w:rsidRPr="00F22396" w:rsidRDefault="00A31034" w:rsidP="00A05E16">
            <w:pPr>
              <w:rPr>
                <w:b/>
                <w:bCs/>
                <w:sz w:val="28"/>
                <w:szCs w:val="28"/>
              </w:rPr>
            </w:pPr>
            <w:r w:rsidRPr="00F22396">
              <w:rPr>
                <w:b/>
                <w:bCs/>
              </w:rPr>
              <w:t>Does not require IGT/UPL chart in LN/LCM.</w:t>
            </w:r>
          </w:p>
        </w:tc>
      </w:tr>
      <w:tr w:rsidR="00865584" w14:paraId="4EEFA44F" w14:textId="77777777" w:rsidTr="00865584">
        <w:tc>
          <w:tcPr>
            <w:tcW w:w="1705" w:type="dxa"/>
          </w:tcPr>
          <w:p w14:paraId="70748C07" w14:textId="2610D97C" w:rsidR="00865584" w:rsidRDefault="00903293" w:rsidP="00A05E16">
            <w:pPr>
              <w:rPr>
                <w:sz w:val="28"/>
                <w:szCs w:val="28"/>
              </w:rPr>
            </w:pPr>
            <w:r>
              <w:rPr>
                <w:sz w:val="28"/>
                <w:szCs w:val="28"/>
              </w:rPr>
              <w:t>Indiana</w:t>
            </w:r>
            <w:r w:rsidR="00C43BA4">
              <w:rPr>
                <w:sz w:val="28"/>
                <w:szCs w:val="28"/>
              </w:rPr>
              <w:t>*</w:t>
            </w:r>
          </w:p>
        </w:tc>
        <w:tc>
          <w:tcPr>
            <w:tcW w:w="7645" w:type="dxa"/>
          </w:tcPr>
          <w:p w14:paraId="62E87E84" w14:textId="26F45ED4" w:rsidR="00865584" w:rsidRDefault="0088079D" w:rsidP="00A05E16">
            <w:r>
              <w:t>IGT/UPL income needs to be capped separately, and the income cannot be used in Debt Cover calculations.</w:t>
            </w:r>
            <w:r w:rsidR="00E31C14">
              <w:t xml:space="preserve">  </w:t>
            </w:r>
            <w:r w:rsidR="00E31C14" w:rsidRPr="00E31C14">
              <w:rPr>
                <w:i/>
                <w:iCs/>
              </w:rPr>
              <w:t>Successful applications have had less than 10-15% of supplemental revenue as a percentage of value for loan sizing.</w:t>
            </w:r>
          </w:p>
          <w:p w14:paraId="1DDE6406" w14:textId="77777777" w:rsidR="0088079D" w:rsidRDefault="0088079D" w:rsidP="00A05E16"/>
          <w:p w14:paraId="422CE23A" w14:textId="58EA7FA2" w:rsidR="0088079D" w:rsidRPr="00F22396" w:rsidRDefault="0088079D" w:rsidP="00A05E16">
            <w:pPr>
              <w:rPr>
                <w:b/>
                <w:bCs/>
                <w:sz w:val="28"/>
                <w:szCs w:val="28"/>
              </w:rPr>
            </w:pPr>
            <w:r w:rsidRPr="00F22396">
              <w:rPr>
                <w:b/>
                <w:bCs/>
              </w:rPr>
              <w:t>Include IGT/UPL chart in LN/LCM.</w:t>
            </w:r>
          </w:p>
        </w:tc>
      </w:tr>
      <w:tr w:rsidR="00222DFE" w14:paraId="3E7A355A" w14:textId="77777777" w:rsidTr="00865584">
        <w:tc>
          <w:tcPr>
            <w:tcW w:w="1705" w:type="dxa"/>
          </w:tcPr>
          <w:p w14:paraId="5855E191" w14:textId="373BA667" w:rsidR="00222DFE" w:rsidRDefault="00222DFE" w:rsidP="00A05E16">
            <w:pPr>
              <w:rPr>
                <w:sz w:val="28"/>
                <w:szCs w:val="28"/>
              </w:rPr>
            </w:pPr>
            <w:r>
              <w:rPr>
                <w:sz w:val="28"/>
                <w:szCs w:val="28"/>
              </w:rPr>
              <w:t>Michigan</w:t>
            </w:r>
          </w:p>
        </w:tc>
        <w:tc>
          <w:tcPr>
            <w:tcW w:w="7645" w:type="dxa"/>
          </w:tcPr>
          <w:p w14:paraId="625F54CF" w14:textId="77777777" w:rsidR="00CC40EB" w:rsidRDefault="00E41F5F" w:rsidP="00CC40EB">
            <w:pPr>
              <w:rPr>
                <w:rFonts w:eastAsia="Times New Roman" w:cstheme="minorHAnsi"/>
              </w:rPr>
            </w:pPr>
            <w:r w:rsidRPr="00B72C1F">
              <w:rPr>
                <w:rFonts w:eastAsia="Times New Roman" w:cstheme="minorHAnsi"/>
              </w:rPr>
              <w:t>E</w:t>
            </w:r>
            <w:r w:rsidRPr="00E41F5F">
              <w:rPr>
                <w:rFonts w:eastAsia="Times New Roman" w:cstheme="minorHAnsi"/>
              </w:rPr>
              <w:t>nacted the Nursing Facility Quality Measure Incentive (QMI) in 2017. In essence, QMI is a fund paid into by facilities with Medicaid beds and redistributed to facilities based on quality measures through a Medicaid add-on payment</w:t>
            </w:r>
            <w:r w:rsidR="00CC40EB">
              <w:rPr>
                <w:rFonts w:eastAsia="Times New Roman" w:cstheme="minorHAnsi"/>
              </w:rPr>
              <w:t>.</w:t>
            </w:r>
          </w:p>
          <w:p w14:paraId="7FBF14CD" w14:textId="6D72A636" w:rsidR="00E41F5F" w:rsidRPr="00CC40EB" w:rsidRDefault="00E41F5F" w:rsidP="00CC40EB">
            <w:pPr>
              <w:pStyle w:val="ListParagraph"/>
              <w:numPr>
                <w:ilvl w:val="0"/>
                <w:numId w:val="1"/>
              </w:numPr>
              <w:rPr>
                <w:rFonts w:eastAsia="Times New Roman" w:cstheme="minorHAnsi"/>
              </w:rPr>
            </w:pPr>
            <w:r w:rsidRPr="00CC40EB">
              <w:rPr>
                <w:rFonts w:eastAsia="Times New Roman" w:cstheme="minorHAnsi"/>
              </w:rPr>
              <w:t xml:space="preserve">Appraised NOI:  QMI income and expenses should be included in the NOI, no separate capitalization of the income stream is </w:t>
            </w:r>
            <w:proofErr w:type="gramStart"/>
            <w:r w:rsidRPr="00CC40EB">
              <w:rPr>
                <w:rFonts w:eastAsia="Times New Roman" w:cstheme="minorHAnsi"/>
              </w:rPr>
              <w:t>required;</w:t>
            </w:r>
            <w:proofErr w:type="gramEnd"/>
          </w:p>
          <w:p w14:paraId="608DFBED" w14:textId="77777777" w:rsidR="00E41F5F" w:rsidRPr="00E41F5F" w:rsidRDefault="00E41F5F" w:rsidP="00E41F5F">
            <w:pPr>
              <w:numPr>
                <w:ilvl w:val="0"/>
                <w:numId w:val="1"/>
              </w:numPr>
              <w:rPr>
                <w:rFonts w:eastAsia="Times New Roman" w:cstheme="minorHAnsi"/>
              </w:rPr>
            </w:pPr>
            <w:r w:rsidRPr="00E41F5F">
              <w:rPr>
                <w:rFonts w:eastAsia="Times New Roman" w:cstheme="minorHAnsi"/>
              </w:rPr>
              <w:t xml:space="preserve">Lender’s DSC NOI:  The lender should adjust the NOI to remove the QMI revenue but include the QMI </w:t>
            </w:r>
            <w:proofErr w:type="gramStart"/>
            <w:r w:rsidRPr="00E41F5F">
              <w:rPr>
                <w:rFonts w:eastAsia="Times New Roman" w:cstheme="minorHAnsi"/>
              </w:rPr>
              <w:t>expenses;</w:t>
            </w:r>
            <w:proofErr w:type="gramEnd"/>
          </w:p>
          <w:p w14:paraId="42068BE3" w14:textId="77777777" w:rsidR="00E41F5F" w:rsidRPr="00E41F5F" w:rsidRDefault="00E41F5F" w:rsidP="00E41F5F">
            <w:pPr>
              <w:numPr>
                <w:ilvl w:val="0"/>
                <w:numId w:val="1"/>
              </w:numPr>
              <w:rPr>
                <w:rFonts w:eastAsia="Times New Roman" w:cstheme="minorHAnsi"/>
              </w:rPr>
            </w:pPr>
            <w:r w:rsidRPr="00E41F5F">
              <w:rPr>
                <w:rFonts w:eastAsia="Times New Roman" w:cstheme="minorHAnsi"/>
              </w:rPr>
              <w:t>Historic NOI:  Historic NOI can reflect the actual reimbursements and expenses.</w:t>
            </w:r>
          </w:p>
          <w:p w14:paraId="7ADD87B2" w14:textId="77777777" w:rsidR="00222DFE" w:rsidRDefault="00222DFE" w:rsidP="00A05E16"/>
          <w:p w14:paraId="71BB6E0F" w14:textId="14CA1B0F" w:rsidR="00E31C14" w:rsidRDefault="00E31C14" w:rsidP="00A05E16">
            <w:r w:rsidRPr="00F22396">
              <w:rPr>
                <w:b/>
                <w:bCs/>
              </w:rPr>
              <w:t>Does not require IGT/UPL chart in LN/LCM.</w:t>
            </w:r>
          </w:p>
        </w:tc>
      </w:tr>
      <w:tr w:rsidR="00865584" w14:paraId="5759FA87" w14:textId="77777777" w:rsidTr="00865584">
        <w:tc>
          <w:tcPr>
            <w:tcW w:w="1705" w:type="dxa"/>
          </w:tcPr>
          <w:p w14:paraId="5A7F515A" w14:textId="5BF975A0" w:rsidR="00865584" w:rsidRDefault="00903293" w:rsidP="00A05E16">
            <w:pPr>
              <w:rPr>
                <w:sz w:val="28"/>
                <w:szCs w:val="28"/>
              </w:rPr>
            </w:pPr>
            <w:r>
              <w:rPr>
                <w:sz w:val="28"/>
                <w:szCs w:val="28"/>
              </w:rPr>
              <w:t>Montana</w:t>
            </w:r>
            <w:r w:rsidR="00C43BA4">
              <w:rPr>
                <w:sz w:val="28"/>
                <w:szCs w:val="28"/>
              </w:rPr>
              <w:t>*</w:t>
            </w:r>
          </w:p>
        </w:tc>
        <w:tc>
          <w:tcPr>
            <w:tcW w:w="7645" w:type="dxa"/>
          </w:tcPr>
          <w:p w14:paraId="21E86FF7" w14:textId="0F5208F1" w:rsidR="0088079D" w:rsidRDefault="0088079D" w:rsidP="0088079D">
            <w:r>
              <w:t>IGT/UPL income needs to be capped separately, and the income cannot be used in Debt Cover calculations.</w:t>
            </w:r>
            <w:r w:rsidR="001F2C23">
              <w:t xml:space="preserve">  Third party appraiser may not separate out this revenue stream, which is acceptable.  Lender to complete table and demonstrate separation of the supplemental income.</w:t>
            </w:r>
            <w:r w:rsidR="00E31C14">
              <w:t xml:space="preserve">  </w:t>
            </w:r>
            <w:r w:rsidR="00E31C14" w:rsidRPr="00E31C14">
              <w:rPr>
                <w:i/>
                <w:iCs/>
              </w:rPr>
              <w:t xml:space="preserve">Successful applications have had less than 10-15% of supplemental revenue as a percentage of value for loan </w:t>
            </w:r>
            <w:proofErr w:type="gramStart"/>
            <w:r w:rsidR="00E31C14" w:rsidRPr="00E31C14">
              <w:rPr>
                <w:i/>
                <w:iCs/>
              </w:rPr>
              <w:t>sizing</w:t>
            </w:r>
            <w:proofErr w:type="gramEnd"/>
          </w:p>
          <w:p w14:paraId="6D1C1033" w14:textId="77777777" w:rsidR="0088079D" w:rsidRDefault="0088079D" w:rsidP="0088079D"/>
          <w:p w14:paraId="6160BDB0" w14:textId="68A65A94" w:rsidR="00865584" w:rsidRPr="00F22396" w:rsidRDefault="0088079D" w:rsidP="0088079D">
            <w:pPr>
              <w:rPr>
                <w:b/>
                <w:bCs/>
                <w:sz w:val="28"/>
                <w:szCs w:val="28"/>
              </w:rPr>
            </w:pPr>
            <w:r w:rsidRPr="00F22396">
              <w:rPr>
                <w:b/>
                <w:bCs/>
              </w:rPr>
              <w:t>Include IGT/UPL chart in LN/LCM.</w:t>
            </w:r>
          </w:p>
        </w:tc>
      </w:tr>
      <w:tr w:rsidR="00865584" w14:paraId="3DA16A8D" w14:textId="77777777" w:rsidTr="00865584">
        <w:tc>
          <w:tcPr>
            <w:tcW w:w="1705" w:type="dxa"/>
          </w:tcPr>
          <w:p w14:paraId="7634515A" w14:textId="68276074" w:rsidR="00865584" w:rsidRDefault="00903293" w:rsidP="00A05E16">
            <w:pPr>
              <w:rPr>
                <w:sz w:val="28"/>
                <w:szCs w:val="28"/>
              </w:rPr>
            </w:pPr>
            <w:r>
              <w:rPr>
                <w:sz w:val="28"/>
                <w:szCs w:val="28"/>
              </w:rPr>
              <w:t>Texas</w:t>
            </w:r>
            <w:r w:rsidR="00C43BA4">
              <w:rPr>
                <w:sz w:val="28"/>
                <w:szCs w:val="28"/>
              </w:rPr>
              <w:t>*</w:t>
            </w:r>
          </w:p>
        </w:tc>
        <w:tc>
          <w:tcPr>
            <w:tcW w:w="7645" w:type="dxa"/>
          </w:tcPr>
          <w:p w14:paraId="70DF5674" w14:textId="3E72C02B" w:rsidR="004B23E5" w:rsidRDefault="004B23E5" w:rsidP="0088079D">
            <w:r>
              <w:t>QIPP (Quality Incentive Payment Program)</w:t>
            </w:r>
          </w:p>
          <w:p w14:paraId="2921D285" w14:textId="1E01732C" w:rsidR="0088079D" w:rsidRDefault="0088079D" w:rsidP="0088079D">
            <w:r>
              <w:t>IGT/UPL income needs to be capped separately, and the income cannot be used in Debt Cover calculations.</w:t>
            </w:r>
            <w:r w:rsidR="00E31C14">
              <w:t xml:space="preserve">  </w:t>
            </w:r>
            <w:r w:rsidR="00E31C14" w:rsidRPr="00E31C14">
              <w:rPr>
                <w:i/>
                <w:iCs/>
              </w:rPr>
              <w:t xml:space="preserve">Successful applications have had less than 10-15% of supplemental revenue as a percentage of value for loan </w:t>
            </w:r>
            <w:proofErr w:type="gramStart"/>
            <w:r w:rsidR="00E31C14" w:rsidRPr="00E31C14">
              <w:rPr>
                <w:i/>
                <w:iCs/>
              </w:rPr>
              <w:t>sizing</w:t>
            </w:r>
            <w:proofErr w:type="gramEnd"/>
          </w:p>
          <w:p w14:paraId="1195EE6B" w14:textId="77777777" w:rsidR="0088079D" w:rsidRDefault="0088079D" w:rsidP="0088079D"/>
          <w:p w14:paraId="5021D97D" w14:textId="3FE837E4" w:rsidR="00865584" w:rsidRPr="00F22396" w:rsidRDefault="0088079D" w:rsidP="0088079D">
            <w:pPr>
              <w:rPr>
                <w:b/>
                <w:bCs/>
                <w:sz w:val="28"/>
                <w:szCs w:val="28"/>
              </w:rPr>
            </w:pPr>
            <w:r w:rsidRPr="00F22396">
              <w:rPr>
                <w:b/>
                <w:bCs/>
              </w:rPr>
              <w:t>Include IGT/UPL chart in LN/LCM.</w:t>
            </w:r>
          </w:p>
        </w:tc>
      </w:tr>
      <w:tr w:rsidR="00865584" w14:paraId="45478FBC" w14:textId="77777777" w:rsidTr="00865584">
        <w:tc>
          <w:tcPr>
            <w:tcW w:w="1705" w:type="dxa"/>
          </w:tcPr>
          <w:p w14:paraId="74816A67" w14:textId="5BDE2B35" w:rsidR="00865584" w:rsidRDefault="00903293" w:rsidP="00A05E16">
            <w:pPr>
              <w:rPr>
                <w:sz w:val="28"/>
                <w:szCs w:val="28"/>
              </w:rPr>
            </w:pPr>
            <w:r>
              <w:rPr>
                <w:sz w:val="28"/>
                <w:szCs w:val="28"/>
              </w:rPr>
              <w:t>Utah</w:t>
            </w:r>
            <w:r w:rsidR="00C43BA4">
              <w:rPr>
                <w:sz w:val="28"/>
                <w:szCs w:val="28"/>
              </w:rPr>
              <w:t>*</w:t>
            </w:r>
          </w:p>
        </w:tc>
        <w:tc>
          <w:tcPr>
            <w:tcW w:w="7645" w:type="dxa"/>
          </w:tcPr>
          <w:p w14:paraId="4B59447A" w14:textId="66B45CB6" w:rsidR="0088079D" w:rsidRDefault="0088079D" w:rsidP="0088079D">
            <w:r>
              <w:t>IGT/UPL income needs to be capped separately, and the income cannot be used in Debt Cover calculations.</w:t>
            </w:r>
            <w:r w:rsidR="00E31C14">
              <w:t xml:space="preserve">  </w:t>
            </w:r>
            <w:r w:rsidR="00E31C14" w:rsidRPr="00E31C14">
              <w:rPr>
                <w:i/>
                <w:iCs/>
              </w:rPr>
              <w:t xml:space="preserve">Successful applications have had less than 10-15% of supplemental revenue as a percentage of value for loan </w:t>
            </w:r>
            <w:proofErr w:type="gramStart"/>
            <w:r w:rsidR="00E31C14" w:rsidRPr="00E31C14">
              <w:rPr>
                <w:i/>
                <w:iCs/>
              </w:rPr>
              <w:t>sizing</w:t>
            </w:r>
            <w:proofErr w:type="gramEnd"/>
          </w:p>
          <w:p w14:paraId="3AA4CE5E" w14:textId="77777777" w:rsidR="0088079D" w:rsidRDefault="0088079D" w:rsidP="0088079D"/>
          <w:p w14:paraId="23DBE0B0" w14:textId="5F8DC204" w:rsidR="00865584" w:rsidRPr="00F22396" w:rsidRDefault="0088079D" w:rsidP="0088079D">
            <w:pPr>
              <w:rPr>
                <w:b/>
                <w:bCs/>
                <w:sz w:val="28"/>
                <w:szCs w:val="28"/>
              </w:rPr>
            </w:pPr>
            <w:r w:rsidRPr="00F22396">
              <w:rPr>
                <w:b/>
                <w:bCs/>
              </w:rPr>
              <w:t>Include IGT/UPL chart in LN/LCM.</w:t>
            </w:r>
          </w:p>
        </w:tc>
      </w:tr>
      <w:tr w:rsidR="00903293" w14:paraId="212307DE" w14:textId="77777777" w:rsidTr="00865584">
        <w:tc>
          <w:tcPr>
            <w:tcW w:w="1705" w:type="dxa"/>
          </w:tcPr>
          <w:p w14:paraId="67D456D7" w14:textId="26AA79FF" w:rsidR="00903293" w:rsidRDefault="00903293" w:rsidP="00A05E16">
            <w:pPr>
              <w:rPr>
                <w:sz w:val="28"/>
                <w:szCs w:val="28"/>
              </w:rPr>
            </w:pPr>
            <w:r>
              <w:rPr>
                <w:sz w:val="28"/>
                <w:szCs w:val="28"/>
              </w:rPr>
              <w:lastRenderedPageBreak/>
              <w:t>Wyoming</w:t>
            </w:r>
            <w:r w:rsidR="00C43BA4">
              <w:rPr>
                <w:sz w:val="28"/>
                <w:szCs w:val="28"/>
              </w:rPr>
              <w:t>*</w:t>
            </w:r>
          </w:p>
        </w:tc>
        <w:tc>
          <w:tcPr>
            <w:tcW w:w="7645" w:type="dxa"/>
          </w:tcPr>
          <w:p w14:paraId="42CC3230" w14:textId="1414DABA" w:rsidR="0088079D" w:rsidRDefault="0088079D" w:rsidP="0088079D">
            <w:r>
              <w:t>IGT/UPL income needs to be capped separately, and the income cannot be used in Debt Cover calculations.</w:t>
            </w:r>
            <w:r w:rsidR="00E31C14">
              <w:t xml:space="preserve">  </w:t>
            </w:r>
            <w:r w:rsidR="00E31C14" w:rsidRPr="00E31C14">
              <w:rPr>
                <w:i/>
                <w:iCs/>
              </w:rPr>
              <w:t xml:space="preserve">Successful applications have had less than 10-15% of supplemental revenue as a percentage of value for loan </w:t>
            </w:r>
            <w:proofErr w:type="gramStart"/>
            <w:r w:rsidR="00E31C14" w:rsidRPr="00E31C14">
              <w:rPr>
                <w:i/>
                <w:iCs/>
              </w:rPr>
              <w:t>sizing</w:t>
            </w:r>
            <w:proofErr w:type="gramEnd"/>
          </w:p>
          <w:p w14:paraId="2EAE25C5" w14:textId="77777777" w:rsidR="0088079D" w:rsidRDefault="0088079D" w:rsidP="0088079D"/>
          <w:p w14:paraId="581462E6" w14:textId="69EBB13C" w:rsidR="00903293" w:rsidRPr="00F22396" w:rsidRDefault="0088079D" w:rsidP="0088079D">
            <w:pPr>
              <w:rPr>
                <w:b/>
                <w:bCs/>
                <w:sz w:val="28"/>
                <w:szCs w:val="28"/>
              </w:rPr>
            </w:pPr>
            <w:r w:rsidRPr="00F22396">
              <w:rPr>
                <w:b/>
                <w:bCs/>
              </w:rPr>
              <w:t>Include IGT/UPL chart in LN/LCM.</w:t>
            </w:r>
          </w:p>
        </w:tc>
      </w:tr>
    </w:tbl>
    <w:p w14:paraId="02228C0A" w14:textId="138841E6" w:rsidR="00A05E16" w:rsidRPr="003231C2" w:rsidRDefault="00C43BA4" w:rsidP="00A05E16">
      <w:pPr>
        <w:rPr>
          <w:i/>
          <w:iCs/>
        </w:rPr>
      </w:pPr>
      <w:r w:rsidRPr="003231C2">
        <w:rPr>
          <w:i/>
          <w:iCs/>
        </w:rPr>
        <w:t>*IGT/UPL transactions in these states require that the facility operator sign an Operator Regulatory Agreement and an Operator Security Agreement, in addition to the hospital operator signing these agreements.  Special conditions outlining those requirements will be included in Firm Commitments on these transactions.</w:t>
      </w:r>
    </w:p>
    <w:p w14:paraId="29D102F7" w14:textId="4EF6343B" w:rsidR="00627548" w:rsidRDefault="00627548" w:rsidP="00A05E16">
      <w:pPr>
        <w:rPr>
          <w:sz w:val="28"/>
          <w:szCs w:val="28"/>
        </w:rPr>
      </w:pPr>
      <w:r>
        <w:rPr>
          <w:sz w:val="28"/>
          <w:szCs w:val="28"/>
        </w:rPr>
        <w:t>Other Resources:</w:t>
      </w:r>
    </w:p>
    <w:p w14:paraId="2DDCF379" w14:textId="6652287A" w:rsidR="00CB4E62" w:rsidRDefault="00CB4E62" w:rsidP="00CB4E62">
      <w:pPr>
        <w:numPr>
          <w:ilvl w:val="0"/>
          <w:numId w:val="2"/>
        </w:numPr>
        <w:spacing w:after="0" w:line="240" w:lineRule="auto"/>
        <w:rPr>
          <w:rFonts w:eastAsia="Times New Roman" w:cstheme="minorHAnsi"/>
        </w:rPr>
      </w:pPr>
      <w:r w:rsidRPr="00BE7E5C">
        <w:rPr>
          <w:rFonts w:eastAsia="Times New Roman" w:cstheme="minorHAnsi"/>
        </w:rPr>
        <w:t>Email Blast</w:t>
      </w:r>
      <w:r w:rsidR="00123387" w:rsidRPr="00BE7E5C">
        <w:rPr>
          <w:rFonts w:eastAsia="Times New Roman" w:cstheme="minorHAnsi"/>
        </w:rPr>
        <w:t xml:space="preserve"> 6/30/2021</w:t>
      </w:r>
      <w:r w:rsidR="003436C7">
        <w:rPr>
          <w:rFonts w:eastAsia="Times New Roman" w:cstheme="minorHAnsi"/>
        </w:rPr>
        <w:t xml:space="preserve"> (including February 24, 2021, June 24, </w:t>
      </w:r>
      <w:proofErr w:type="gramStart"/>
      <w:r w:rsidR="003436C7">
        <w:rPr>
          <w:rFonts w:eastAsia="Times New Roman" w:cstheme="minorHAnsi"/>
        </w:rPr>
        <w:t>2015</w:t>
      </w:r>
      <w:proofErr w:type="gramEnd"/>
      <w:r w:rsidR="003436C7">
        <w:rPr>
          <w:rFonts w:eastAsia="Times New Roman" w:cstheme="minorHAnsi"/>
        </w:rPr>
        <w:t xml:space="preserve"> and June 27, 2012 Email Blasts by reference).</w:t>
      </w:r>
      <w:r w:rsidR="00123387" w:rsidRPr="00BE7E5C">
        <w:rPr>
          <w:rFonts w:eastAsia="Times New Roman" w:cstheme="minorHAnsi"/>
        </w:rPr>
        <w:t xml:space="preserve"> </w:t>
      </w:r>
    </w:p>
    <w:p w14:paraId="78E7BE89" w14:textId="6D859563" w:rsidR="008029E5" w:rsidRDefault="008029E5" w:rsidP="008029E5">
      <w:pPr>
        <w:spacing w:after="0" w:line="240" w:lineRule="auto"/>
        <w:rPr>
          <w:rFonts w:eastAsia="Times New Roman" w:cstheme="minorHAnsi"/>
        </w:rPr>
      </w:pPr>
    </w:p>
    <w:bookmarkStart w:id="0" w:name="_MON_1723288186"/>
    <w:bookmarkEnd w:id="0"/>
    <w:p w14:paraId="38C0EE7A" w14:textId="6F451607" w:rsidR="008029E5" w:rsidRPr="00BE7E5C" w:rsidRDefault="008029E5" w:rsidP="008029E5">
      <w:pPr>
        <w:spacing w:after="0" w:line="240" w:lineRule="auto"/>
        <w:rPr>
          <w:rFonts w:eastAsia="Times New Roman" w:cstheme="minorHAnsi"/>
        </w:rPr>
      </w:pPr>
      <w:r>
        <w:rPr>
          <w:rFonts w:eastAsia="Times New Roman" w:cstheme="minorHAnsi"/>
        </w:rPr>
        <w:object w:dxaOrig="9886" w:dyaOrig="6152" w14:anchorId="60FA0E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4.5pt;height:307.5pt" o:ole="">
            <v:imagedata r:id="rId7" o:title=""/>
          </v:shape>
          <o:OLEObject Type="Embed" ProgID="Excel.Sheet.12" ShapeID="_x0000_i1025" DrawAspect="Content" ObjectID="_1764651133" r:id="rId8"/>
        </w:object>
      </w:r>
    </w:p>
    <w:p w14:paraId="10754532" w14:textId="02754727" w:rsidR="00CB4E62" w:rsidRDefault="00CB4E62" w:rsidP="00CB4E62">
      <w:pPr>
        <w:spacing w:after="0" w:line="240" w:lineRule="auto"/>
        <w:ind w:left="720"/>
        <w:rPr>
          <w:rFonts w:ascii="Century Gothic" w:eastAsia="Times New Roman" w:hAnsi="Century Gothic" w:cs="Times New Roman"/>
        </w:rPr>
      </w:pPr>
    </w:p>
    <w:p w14:paraId="683745C8" w14:textId="77777777" w:rsidR="00935DBA" w:rsidRPr="00CB4E62" w:rsidRDefault="00935DBA" w:rsidP="00CB4E62">
      <w:pPr>
        <w:spacing w:after="0" w:line="240" w:lineRule="auto"/>
        <w:ind w:left="720"/>
        <w:rPr>
          <w:rFonts w:ascii="Century Gothic" w:eastAsia="Times New Roman" w:hAnsi="Century Gothic" w:cs="Times New Roman"/>
        </w:rPr>
      </w:pPr>
    </w:p>
    <w:p w14:paraId="649662BF" w14:textId="602EF94A" w:rsidR="003D6516" w:rsidRPr="00BE7E5C" w:rsidRDefault="003D6516" w:rsidP="00B8125D">
      <w:pPr>
        <w:rPr>
          <w:sz w:val="28"/>
          <w:szCs w:val="28"/>
        </w:rPr>
      </w:pPr>
      <w:r w:rsidRPr="00BE7E5C">
        <w:rPr>
          <w:sz w:val="28"/>
          <w:szCs w:val="28"/>
        </w:rPr>
        <w:t xml:space="preserve">FAQ Guidance posted on HUD.gov </w:t>
      </w:r>
      <w:r w:rsidR="00857B1C" w:rsidRPr="00BE7E5C">
        <w:rPr>
          <w:sz w:val="28"/>
          <w:szCs w:val="28"/>
        </w:rPr>
        <w:t>regarding Quality Incentive Reimbursement Payments:</w:t>
      </w:r>
    </w:p>
    <w:p w14:paraId="56F77C8C" w14:textId="04F3CAF9" w:rsidR="00857B1C" w:rsidRDefault="00857B1C" w:rsidP="00B8125D">
      <w:pPr>
        <w:rPr>
          <w:i/>
          <w:iCs/>
        </w:rPr>
      </w:pPr>
      <w:r w:rsidRPr="009C1CBD">
        <w:rPr>
          <w:i/>
          <w:iCs/>
        </w:rPr>
        <w:t>Lenders are reminded that additional underwriting scrutiny is applied as the percentage of NOI derived from supplemental income sources increases, and conservative underwriting represents having little to no inclusion of these revenue streams in value for loan sizing, given the long-term nature of Section 232 insured mortgages.</w:t>
      </w:r>
    </w:p>
    <w:p w14:paraId="35AD0ACB" w14:textId="080EB830" w:rsidR="00FB3920" w:rsidRPr="003231C2" w:rsidRDefault="00FB3920" w:rsidP="00B8125D">
      <w:pPr>
        <w:rPr>
          <w:sz w:val="28"/>
          <w:szCs w:val="28"/>
        </w:rPr>
      </w:pPr>
      <w:r w:rsidRPr="003231C2">
        <w:rPr>
          <w:sz w:val="28"/>
          <w:szCs w:val="28"/>
        </w:rPr>
        <w:lastRenderedPageBreak/>
        <w:t>*Special Conditions</w:t>
      </w:r>
    </w:p>
    <w:tbl>
      <w:tblPr>
        <w:tblW w:w="10345" w:type="dxa"/>
        <w:tblLayout w:type="fixed"/>
        <w:tblLook w:val="04A0" w:firstRow="1" w:lastRow="0" w:firstColumn="1" w:lastColumn="0" w:noHBand="0" w:noVBand="1"/>
      </w:tblPr>
      <w:tblGrid>
        <w:gridCol w:w="1932"/>
        <w:gridCol w:w="3911"/>
        <w:gridCol w:w="4502"/>
      </w:tblGrid>
      <w:tr w:rsidR="00C43BA4" w14:paraId="1F126482" w14:textId="77777777" w:rsidTr="003231C2">
        <w:trPr>
          <w:trHeight w:val="1120"/>
        </w:trPr>
        <w:tc>
          <w:tcPr>
            <w:tcW w:w="1932" w:type="dxa"/>
            <w:tcBorders>
              <w:top w:val="single" w:sz="4" w:space="0" w:color="auto"/>
              <w:left w:val="single" w:sz="4" w:space="0" w:color="auto"/>
              <w:bottom w:val="single" w:sz="4" w:space="0" w:color="auto"/>
              <w:right w:val="single" w:sz="4" w:space="0" w:color="auto"/>
            </w:tcBorders>
            <w:vAlign w:val="center"/>
            <w:hideMark/>
          </w:tcPr>
          <w:p w14:paraId="06CED929" w14:textId="77777777" w:rsidR="00C43BA4" w:rsidRDefault="00C43BA4">
            <w:pPr>
              <w:rPr>
                <w:rFonts w:ascii="Times New Roman" w:eastAsia="Times New Roman" w:hAnsi="Times New Roman" w:cs="Times New Roman"/>
                <w:b/>
                <w:bCs/>
              </w:rPr>
            </w:pPr>
            <w:r>
              <w:rPr>
                <w:rFonts w:ascii="Times New Roman" w:eastAsia="Times New Roman" w:hAnsi="Times New Roman" w:cs="Times New Roman"/>
                <w:b/>
                <w:bCs/>
              </w:rPr>
              <w:t>ALL PROGRAMS, as applicable</w:t>
            </w:r>
          </w:p>
        </w:tc>
        <w:tc>
          <w:tcPr>
            <w:tcW w:w="3911" w:type="dxa"/>
            <w:tcBorders>
              <w:top w:val="single" w:sz="4" w:space="0" w:color="auto"/>
              <w:left w:val="single" w:sz="4" w:space="0" w:color="auto"/>
              <w:bottom w:val="single" w:sz="4" w:space="0" w:color="auto"/>
              <w:right w:val="single" w:sz="4" w:space="0" w:color="auto"/>
            </w:tcBorders>
          </w:tcPr>
          <w:p w14:paraId="486DC01A" w14:textId="77777777" w:rsidR="00C43BA4" w:rsidRDefault="00C43BA4">
            <w:pPr>
              <w:rPr>
                <w:rFonts w:ascii="Times New Roman" w:eastAsia="Times New Roman" w:hAnsi="Times New Roman" w:cs="Times New Roman"/>
                <w:b/>
                <w:bCs/>
                <w:color w:val="FF0000"/>
              </w:rPr>
            </w:pPr>
            <w:r>
              <w:rPr>
                <w:rFonts w:ascii="Times New Roman" w:eastAsia="Times New Roman" w:hAnsi="Times New Roman" w:cs="Times New Roman"/>
                <w:b/>
                <w:bCs/>
              </w:rPr>
              <w:t xml:space="preserve">Operator Regulatory Agreement </w:t>
            </w:r>
            <w:r>
              <w:rPr>
                <w:rFonts w:ascii="Times New Roman" w:eastAsia="Times New Roman" w:hAnsi="Times New Roman" w:cs="Times New Roman"/>
              </w:rPr>
              <w:t xml:space="preserve">(1/16) </w:t>
            </w:r>
            <w:r>
              <w:rPr>
                <w:rFonts w:ascii="Times New Roman" w:eastAsia="Times New Roman" w:hAnsi="Times New Roman" w:cs="Times New Roman"/>
                <w:b/>
                <w:bCs/>
                <w:color w:val="FF0000"/>
              </w:rPr>
              <w:t>Use when it is determined that the Management Agent must sign the Operator Regulatory Agreement.</w:t>
            </w:r>
          </w:p>
          <w:p w14:paraId="356F86DA" w14:textId="77777777" w:rsidR="00C43BA4" w:rsidRDefault="00C43BA4">
            <w:pPr>
              <w:rPr>
                <w:rFonts w:ascii="Times New Roman" w:eastAsia="Times New Roman" w:hAnsi="Times New Roman" w:cs="Times New Roman"/>
                <w:b/>
                <w:bCs/>
                <w:color w:val="FF0000"/>
              </w:rPr>
            </w:pPr>
          </w:p>
          <w:p w14:paraId="12953822" w14:textId="4CA42E64" w:rsidR="00C43BA4" w:rsidRDefault="00C43BA4">
            <w:pPr>
              <w:rPr>
                <w:rFonts w:ascii="Times New Roman" w:eastAsia="Times New Roman" w:hAnsi="Times New Roman" w:cs="Times New Roman"/>
                <w:b/>
                <w:bCs/>
                <w:i/>
                <w:iCs/>
              </w:rPr>
            </w:pPr>
            <w:r>
              <w:rPr>
                <w:rFonts w:ascii="Times New Roman" w:eastAsia="Times New Roman" w:hAnsi="Times New Roman" w:cs="Times New Roman"/>
                <w:b/>
                <w:bCs/>
                <w:i/>
                <w:iCs/>
                <w:color w:val="FF0000"/>
              </w:rPr>
              <w:t>*IGT/UPL/QIPP transactions:  If the project participates in an IGT/UPL/QIPP program the “facility operator” must sign the Operator Regulatory Agreement, in addition to the hospital signing an Operator Regulatory Agreement.  Note:  the reference to “Management Agent” in the condition language may need to be adjusted to reflect the term being used in the specific transaction, e.g., “Sub-Operator”, or “Sub-tenant”, “Sub-landlord” etc., as applicable.</w:t>
            </w:r>
          </w:p>
        </w:tc>
        <w:tc>
          <w:tcPr>
            <w:tcW w:w="4502" w:type="dxa"/>
            <w:tcBorders>
              <w:top w:val="single" w:sz="4" w:space="0" w:color="auto"/>
              <w:left w:val="single" w:sz="4" w:space="0" w:color="auto"/>
              <w:bottom w:val="single" w:sz="4" w:space="0" w:color="auto"/>
              <w:right w:val="single" w:sz="4" w:space="0" w:color="auto"/>
            </w:tcBorders>
            <w:hideMark/>
          </w:tcPr>
          <w:p w14:paraId="01972927" w14:textId="77777777" w:rsidR="00C43BA4" w:rsidRDefault="00C43BA4">
            <w:pPr>
              <w:rPr>
                <w:rFonts w:ascii="Times New Roman" w:eastAsia="Times New Roman" w:hAnsi="Times New Roman" w:cs="Times New Roman"/>
              </w:rPr>
            </w:pPr>
            <w:r>
              <w:rPr>
                <w:rFonts w:ascii="Times New Roman" w:eastAsia="Times New Roman" w:hAnsi="Times New Roman" w:cs="Times New Roman"/>
                <w:b/>
                <w:bCs/>
                <w:u w:val="single"/>
              </w:rPr>
              <w:t>Operator Regulatory Agreement:</w:t>
            </w:r>
            <w:r>
              <w:rPr>
                <w:rFonts w:ascii="Times New Roman" w:eastAsia="Times New Roman" w:hAnsi="Times New Roman" w:cs="Times New Roman"/>
              </w:rPr>
              <w:t xml:space="preserve"> In addition to the Borrower, the Management Agent must sign the Operator Regulatory Agreement.</w:t>
            </w:r>
          </w:p>
        </w:tc>
      </w:tr>
    </w:tbl>
    <w:p w14:paraId="1FA69091" w14:textId="77777777" w:rsidR="00C43BA4" w:rsidRDefault="00C43BA4" w:rsidP="00C43BA4">
      <w:pPr>
        <w:rPr>
          <w:kern w:val="2"/>
          <w14:ligatures w14:val="standardContextual"/>
        </w:rPr>
      </w:pPr>
    </w:p>
    <w:tbl>
      <w:tblPr>
        <w:tblW w:w="10345" w:type="dxa"/>
        <w:tblLayout w:type="fixed"/>
        <w:tblLook w:val="04A0" w:firstRow="1" w:lastRow="0" w:firstColumn="1" w:lastColumn="0" w:noHBand="0" w:noVBand="1"/>
      </w:tblPr>
      <w:tblGrid>
        <w:gridCol w:w="1932"/>
        <w:gridCol w:w="3911"/>
        <w:gridCol w:w="4502"/>
      </w:tblGrid>
      <w:tr w:rsidR="00C43BA4" w14:paraId="110B6D89" w14:textId="77777777" w:rsidTr="003231C2">
        <w:trPr>
          <w:trHeight w:val="1120"/>
        </w:trPr>
        <w:tc>
          <w:tcPr>
            <w:tcW w:w="1932" w:type="dxa"/>
            <w:tcBorders>
              <w:top w:val="single" w:sz="4" w:space="0" w:color="auto"/>
              <w:left w:val="single" w:sz="4" w:space="0" w:color="auto"/>
              <w:bottom w:val="single" w:sz="4" w:space="0" w:color="auto"/>
              <w:right w:val="single" w:sz="4" w:space="0" w:color="auto"/>
            </w:tcBorders>
            <w:vAlign w:val="center"/>
            <w:hideMark/>
          </w:tcPr>
          <w:p w14:paraId="5404D8A3" w14:textId="77777777" w:rsidR="00C43BA4" w:rsidRDefault="00C43BA4">
            <w:pPr>
              <w:rPr>
                <w:rFonts w:ascii="Times New Roman" w:eastAsia="Times New Roman" w:hAnsi="Times New Roman" w:cs="Times New Roman"/>
                <w:b/>
                <w:bCs/>
              </w:rPr>
            </w:pPr>
            <w:r>
              <w:rPr>
                <w:rFonts w:ascii="Times New Roman" w:eastAsia="Times New Roman" w:hAnsi="Times New Roman" w:cs="Times New Roman"/>
                <w:b/>
                <w:bCs/>
              </w:rPr>
              <w:t>ALL PROGRAMS, as applicable</w:t>
            </w:r>
          </w:p>
        </w:tc>
        <w:tc>
          <w:tcPr>
            <w:tcW w:w="3911" w:type="dxa"/>
            <w:tcBorders>
              <w:top w:val="single" w:sz="4" w:space="0" w:color="auto"/>
              <w:left w:val="single" w:sz="4" w:space="0" w:color="auto"/>
              <w:bottom w:val="single" w:sz="4" w:space="0" w:color="auto"/>
              <w:right w:val="single" w:sz="4" w:space="0" w:color="auto"/>
            </w:tcBorders>
            <w:hideMark/>
          </w:tcPr>
          <w:p w14:paraId="58F7D21F" w14:textId="77777777" w:rsidR="00C43BA4" w:rsidRDefault="00C43BA4">
            <w:pPr>
              <w:rPr>
                <w:rFonts w:ascii="Times New Roman" w:eastAsia="Times New Roman" w:hAnsi="Times New Roman" w:cs="Times New Roman"/>
                <w:b/>
                <w:bCs/>
              </w:rPr>
            </w:pPr>
            <w:r>
              <w:rPr>
                <w:rFonts w:ascii="Times New Roman" w:eastAsia="Times New Roman" w:hAnsi="Times New Roman" w:cs="Times New Roman"/>
                <w:b/>
                <w:bCs/>
              </w:rPr>
              <w:t xml:space="preserve">Operator Security Agreement </w:t>
            </w:r>
            <w:r>
              <w:rPr>
                <w:rFonts w:ascii="Times New Roman" w:eastAsia="Times New Roman" w:hAnsi="Times New Roman" w:cs="Times New Roman"/>
              </w:rPr>
              <w:t xml:space="preserve">(****) </w:t>
            </w:r>
            <w:r>
              <w:rPr>
                <w:rFonts w:ascii="Times New Roman" w:eastAsia="Times New Roman" w:hAnsi="Times New Roman" w:cs="Times New Roman"/>
                <w:b/>
                <w:bCs/>
                <w:color w:val="FF0000"/>
              </w:rPr>
              <w:t>Use when the project participates in an IGT/UPL/QIPP program.</w:t>
            </w:r>
          </w:p>
        </w:tc>
        <w:tc>
          <w:tcPr>
            <w:tcW w:w="4502" w:type="dxa"/>
            <w:tcBorders>
              <w:top w:val="single" w:sz="4" w:space="0" w:color="auto"/>
              <w:left w:val="single" w:sz="4" w:space="0" w:color="auto"/>
              <w:bottom w:val="single" w:sz="4" w:space="0" w:color="auto"/>
              <w:right w:val="single" w:sz="4" w:space="0" w:color="auto"/>
            </w:tcBorders>
          </w:tcPr>
          <w:p w14:paraId="3644DCCF" w14:textId="4727878E" w:rsidR="00C43BA4" w:rsidRDefault="00C43BA4">
            <w:pPr>
              <w:rPr>
                <w:rFonts w:ascii="Times New Roman" w:eastAsia="Times New Roman" w:hAnsi="Times New Roman" w:cs="Times New Roman"/>
              </w:rPr>
            </w:pPr>
            <w:r>
              <w:rPr>
                <w:rFonts w:ascii="Times New Roman" w:eastAsia="Times New Roman" w:hAnsi="Times New Roman" w:cs="Times New Roman"/>
                <w:b/>
                <w:bCs/>
                <w:u w:val="single"/>
              </w:rPr>
              <w:t>Operator Security Agreement:</w:t>
            </w:r>
            <w:r>
              <w:rPr>
                <w:rFonts w:ascii="Times New Roman" w:eastAsia="Times New Roman" w:hAnsi="Times New Roman" w:cs="Times New Roman"/>
              </w:rPr>
              <w:t xml:space="preserve">  Any entities signing an Operator Regulatory Agreement in the transaction must also sign an Operator Security Agreement.  </w:t>
            </w:r>
            <w:r w:rsidR="002E371C">
              <w:rPr>
                <w:rFonts w:ascii="Times New Roman" w:eastAsia="Times New Roman" w:hAnsi="Times New Roman" w:cs="Times New Roman"/>
              </w:rPr>
              <w:t xml:space="preserve">These </w:t>
            </w:r>
            <w:r>
              <w:rPr>
                <w:rFonts w:ascii="Times New Roman" w:eastAsia="Times New Roman" w:hAnsi="Times New Roman" w:cs="Times New Roman"/>
              </w:rPr>
              <w:t xml:space="preserve">Operator Security Agreements must include language that the revenues from IGT/UPL transactions </w:t>
            </w:r>
            <w:r w:rsidR="00B047CE" w:rsidRPr="00B047CE">
              <w:rPr>
                <w:rFonts w:ascii="Times New Roman" w:eastAsia="Times New Roman" w:hAnsi="Times New Roman" w:cs="Times New Roman"/>
              </w:rPr>
              <w:t xml:space="preserve">that are not considered excluded proceeds (as defined by the transaction specific agreements) are included in the definition of Government Payments and </w:t>
            </w:r>
            <w:r>
              <w:rPr>
                <w:rFonts w:ascii="Times New Roman" w:eastAsia="Times New Roman" w:hAnsi="Times New Roman" w:cs="Times New Roman"/>
              </w:rPr>
              <w:t xml:space="preserve">are available for delinquencies and other project operating needs.  </w:t>
            </w:r>
          </w:p>
          <w:p w14:paraId="0AD7BA1C" w14:textId="77777777" w:rsidR="00C43BA4" w:rsidRDefault="00C43BA4">
            <w:pPr>
              <w:rPr>
                <w:rFonts w:ascii="Times New Roman" w:eastAsia="Times New Roman" w:hAnsi="Times New Roman" w:cs="Times New Roman"/>
              </w:rPr>
            </w:pPr>
          </w:p>
        </w:tc>
      </w:tr>
    </w:tbl>
    <w:p w14:paraId="6CF38191" w14:textId="77777777" w:rsidR="00C43BA4" w:rsidRDefault="00C43BA4" w:rsidP="00B8125D"/>
    <w:p w14:paraId="421B7DF9" w14:textId="038CE034" w:rsidR="00C43BA4" w:rsidRPr="003231C2" w:rsidRDefault="00C43BA4" w:rsidP="00B8125D">
      <w:pPr>
        <w:rPr>
          <w:sz w:val="28"/>
          <w:szCs w:val="28"/>
        </w:rPr>
      </w:pPr>
      <w:r w:rsidRPr="003231C2">
        <w:rPr>
          <w:sz w:val="28"/>
          <w:szCs w:val="28"/>
        </w:rPr>
        <w:t>Sample Operator Security Agreement language</w:t>
      </w:r>
    </w:p>
    <w:p w14:paraId="53E82BB4" w14:textId="21DE6FFF" w:rsidR="00C43BA4" w:rsidRPr="003231C2" w:rsidRDefault="00C43BA4" w:rsidP="00B8125D">
      <w:pPr>
        <w:rPr>
          <w:sz w:val="28"/>
          <w:szCs w:val="28"/>
        </w:rPr>
      </w:pPr>
      <w:r w:rsidRPr="003231C2">
        <w:rPr>
          <w:sz w:val="28"/>
          <w:szCs w:val="28"/>
        </w:rPr>
        <w:t>Hospitals:</w:t>
      </w:r>
    </w:p>
    <w:p w14:paraId="1AF55CDF" w14:textId="6ECED405" w:rsidR="00C43BA4" w:rsidRPr="003231C2" w:rsidRDefault="00C43BA4" w:rsidP="003231C2">
      <w:pPr>
        <w:pStyle w:val="ListParagraph"/>
        <w:widowControl w:val="0"/>
        <w:numPr>
          <w:ilvl w:val="0"/>
          <w:numId w:val="5"/>
        </w:numPr>
        <w:kinsoku w:val="0"/>
        <w:spacing w:after="0" w:line="240" w:lineRule="auto"/>
        <w:rPr>
          <w:rFonts w:ascii="Times New Roman" w:eastAsia="Times New Roman" w:hAnsi="Times New Roman" w:cs="Times New Roman"/>
          <w:color w:val="0000FF"/>
          <w:sz w:val="24"/>
          <w:szCs w:val="20"/>
          <w:u w:val="double"/>
        </w:rPr>
      </w:pPr>
      <w:r>
        <w:rPr>
          <w:rFonts w:ascii="Times New Roman" w:eastAsia="Times New Roman" w:hAnsi="Times New Roman" w:cs="Times New Roman"/>
          <w:b/>
          <w:sz w:val="24"/>
          <w:szCs w:val="20"/>
        </w:rPr>
        <w:t xml:space="preserve"> </w:t>
      </w:r>
      <w:r w:rsidRPr="003231C2">
        <w:rPr>
          <w:rFonts w:ascii="Times New Roman" w:eastAsia="Times New Roman" w:hAnsi="Times New Roman" w:cs="Times New Roman"/>
          <w:b/>
          <w:sz w:val="24"/>
          <w:szCs w:val="20"/>
        </w:rPr>
        <w:t>SPECIAL PROVISIONS RELATING TO QIPP PROCEEDS.</w:t>
      </w:r>
    </w:p>
    <w:p w14:paraId="51F88A7D" w14:textId="77777777" w:rsidR="00C43BA4" w:rsidRPr="00C43BA4" w:rsidRDefault="00C43BA4" w:rsidP="00C43BA4">
      <w:pPr>
        <w:spacing w:after="0" w:line="240" w:lineRule="auto"/>
        <w:ind w:left="720"/>
        <w:rPr>
          <w:rFonts w:ascii="Cambria Math" w:eastAsia="Cambria Math" w:hAnsi="Cambria Math" w:cs="Times New Roman"/>
          <w:b/>
        </w:rPr>
      </w:pPr>
    </w:p>
    <w:p w14:paraId="46E5AF15" w14:textId="7DD10EDE" w:rsidR="00C43BA4" w:rsidRPr="00C43BA4" w:rsidRDefault="00C43BA4" w:rsidP="00C43BA4">
      <w:pPr>
        <w:widowControl w:val="0"/>
        <w:autoSpaceDE w:val="0"/>
        <w:autoSpaceDN w:val="0"/>
        <w:adjustRightInd w:val="0"/>
        <w:spacing w:after="0" w:line="240" w:lineRule="auto"/>
        <w:ind w:firstLine="720"/>
        <w:jc w:val="both"/>
        <w:rPr>
          <w:rFonts w:ascii="Times New Roman" w:eastAsia="Cambria Math" w:hAnsi="Times New Roman" w:cs="Times New Roman"/>
          <w:sz w:val="24"/>
          <w:szCs w:val="24"/>
        </w:rPr>
      </w:pPr>
      <w:r w:rsidRPr="00C43BA4">
        <w:rPr>
          <w:rFonts w:ascii="Times New Roman" w:eastAsia="Times New Roman" w:hAnsi="Times New Roman" w:cs="Times New Roman"/>
          <w:sz w:val="24"/>
          <w:szCs w:val="20"/>
        </w:rPr>
        <w:t>(a)</w:t>
      </w:r>
      <w:r w:rsidRPr="00C43BA4">
        <w:rPr>
          <w:rFonts w:ascii="Times New Roman" w:eastAsia="Times New Roman" w:hAnsi="Times New Roman" w:cs="Times New Roman"/>
          <w:sz w:val="24"/>
          <w:szCs w:val="20"/>
        </w:rPr>
        <w:tab/>
      </w:r>
      <w:r w:rsidRPr="00C43BA4">
        <w:rPr>
          <w:rFonts w:ascii="Times New Roman" w:eastAsia="Cambria Math" w:hAnsi="Times New Roman" w:cs="Times New Roman"/>
          <w:sz w:val="24"/>
          <w:szCs w:val="24"/>
        </w:rPr>
        <w:t xml:space="preserve">The Healthcare Facility, through Operator, participates in the </w:t>
      </w:r>
      <w:r w:rsidR="00F017DC">
        <w:rPr>
          <w:rFonts w:ascii="Times New Roman" w:eastAsia="Cambria Math" w:hAnsi="Times New Roman" w:cs="Times New Roman"/>
          <w:sz w:val="24"/>
          <w:szCs w:val="24"/>
        </w:rPr>
        <w:t>[</w:t>
      </w:r>
      <w:r w:rsidR="00F017DC" w:rsidRPr="003231C2">
        <w:rPr>
          <w:rFonts w:ascii="Times New Roman" w:eastAsia="Cambria Math" w:hAnsi="Times New Roman" w:cs="Times New Roman"/>
          <w:i/>
          <w:iCs/>
          <w:sz w:val="24"/>
          <w:szCs w:val="24"/>
        </w:rPr>
        <w:t xml:space="preserve">insert program name, e.g., </w:t>
      </w:r>
      <w:r w:rsidRPr="003231C2">
        <w:rPr>
          <w:rFonts w:ascii="Times New Roman" w:eastAsia="Cambria Math" w:hAnsi="Times New Roman" w:cs="Times New Roman"/>
          <w:i/>
          <w:iCs/>
          <w:sz w:val="24"/>
          <w:szCs w:val="24"/>
        </w:rPr>
        <w:t>Quality Incentive Payment Program for Nursing Homes (“</w:t>
      </w:r>
      <w:r w:rsidRPr="003231C2">
        <w:rPr>
          <w:rFonts w:ascii="Times New Roman" w:eastAsia="Cambria Math" w:hAnsi="Times New Roman" w:cs="Times New Roman"/>
          <w:b/>
          <w:i/>
          <w:iCs/>
          <w:sz w:val="24"/>
          <w:szCs w:val="24"/>
        </w:rPr>
        <w:t>QIPP</w:t>
      </w:r>
      <w:r w:rsidRPr="003231C2">
        <w:rPr>
          <w:rFonts w:ascii="Times New Roman" w:eastAsia="Cambria Math" w:hAnsi="Times New Roman" w:cs="Times New Roman"/>
          <w:i/>
          <w:iCs/>
          <w:sz w:val="24"/>
          <w:szCs w:val="24"/>
        </w:rPr>
        <w:t>”)</w:t>
      </w:r>
      <w:r w:rsidR="00F017DC">
        <w:rPr>
          <w:rFonts w:ascii="Times New Roman" w:eastAsia="Cambria Math" w:hAnsi="Times New Roman" w:cs="Times New Roman"/>
          <w:sz w:val="24"/>
          <w:szCs w:val="24"/>
        </w:rPr>
        <w:t>]</w:t>
      </w:r>
      <w:r w:rsidRPr="00C43BA4">
        <w:rPr>
          <w:rFonts w:ascii="Times New Roman" w:eastAsia="Cambria Math" w:hAnsi="Times New Roman" w:cs="Times New Roman"/>
          <w:sz w:val="24"/>
          <w:szCs w:val="24"/>
        </w:rPr>
        <w:t xml:space="preserve"> administered through the </w:t>
      </w:r>
      <w:r w:rsidR="00F017DC">
        <w:rPr>
          <w:rFonts w:ascii="Times New Roman" w:eastAsia="Cambria Math" w:hAnsi="Times New Roman" w:cs="Times New Roman"/>
          <w:sz w:val="24"/>
          <w:szCs w:val="24"/>
        </w:rPr>
        <w:t>[</w:t>
      </w:r>
      <w:r w:rsidR="00F017DC" w:rsidRPr="003231C2">
        <w:rPr>
          <w:rFonts w:ascii="Times New Roman" w:eastAsia="Cambria Math" w:hAnsi="Times New Roman" w:cs="Times New Roman"/>
          <w:i/>
          <w:iCs/>
          <w:sz w:val="24"/>
          <w:szCs w:val="24"/>
        </w:rPr>
        <w:t xml:space="preserve">insert </w:t>
      </w:r>
      <w:proofErr w:type="spellStart"/>
      <w:r w:rsidR="00F017DC">
        <w:rPr>
          <w:rFonts w:ascii="Times New Roman" w:eastAsia="Cambria Math" w:hAnsi="Times New Roman" w:cs="Times New Roman"/>
          <w:i/>
          <w:iCs/>
          <w:sz w:val="24"/>
          <w:szCs w:val="24"/>
        </w:rPr>
        <w:t>adminstering</w:t>
      </w:r>
      <w:proofErr w:type="spellEnd"/>
      <w:r w:rsidR="00F017DC" w:rsidRPr="003231C2">
        <w:rPr>
          <w:rFonts w:ascii="Times New Roman" w:eastAsia="Cambria Math" w:hAnsi="Times New Roman" w:cs="Times New Roman"/>
          <w:i/>
          <w:iCs/>
          <w:sz w:val="24"/>
          <w:szCs w:val="24"/>
        </w:rPr>
        <w:t xml:space="preserve"> entity</w:t>
      </w:r>
      <w:r w:rsidR="00F017DC">
        <w:rPr>
          <w:rFonts w:ascii="Times New Roman" w:eastAsia="Cambria Math" w:hAnsi="Times New Roman" w:cs="Times New Roman"/>
          <w:sz w:val="24"/>
          <w:szCs w:val="24"/>
        </w:rPr>
        <w:t>]</w:t>
      </w:r>
      <w:r w:rsidRPr="00C43BA4">
        <w:rPr>
          <w:rFonts w:ascii="Times New Roman" w:eastAsia="Cambria Math" w:hAnsi="Times New Roman" w:cs="Times New Roman"/>
          <w:sz w:val="24"/>
          <w:szCs w:val="24"/>
        </w:rPr>
        <w:t xml:space="preserve"> and codified at </w:t>
      </w:r>
      <w:r w:rsidR="00F017DC">
        <w:rPr>
          <w:rFonts w:ascii="Times New Roman" w:eastAsia="Cambria Math" w:hAnsi="Times New Roman" w:cs="Times New Roman"/>
          <w:sz w:val="24"/>
          <w:szCs w:val="24"/>
        </w:rPr>
        <w:t>[</w:t>
      </w:r>
      <w:r w:rsidR="00F017DC" w:rsidRPr="003231C2">
        <w:rPr>
          <w:rFonts w:ascii="Times New Roman" w:eastAsia="Cambria Math" w:hAnsi="Times New Roman" w:cs="Times New Roman"/>
          <w:i/>
          <w:iCs/>
          <w:sz w:val="24"/>
          <w:szCs w:val="24"/>
          <w:shd w:val="clear" w:color="auto" w:fill="FFFFFF"/>
        </w:rPr>
        <w:t>insert applicable reference</w:t>
      </w:r>
      <w:r w:rsidR="00F017DC">
        <w:rPr>
          <w:rFonts w:ascii="Times New Roman" w:eastAsia="Cambria Math" w:hAnsi="Times New Roman" w:cs="Times New Roman"/>
          <w:sz w:val="24"/>
          <w:szCs w:val="24"/>
        </w:rPr>
        <w:t>]</w:t>
      </w:r>
      <w:r w:rsidRPr="00C43BA4">
        <w:rPr>
          <w:rFonts w:ascii="Times New Roman" w:eastAsia="Cambria Math" w:hAnsi="Times New Roman" w:cs="Times New Roman"/>
          <w:sz w:val="24"/>
          <w:szCs w:val="24"/>
          <w:shd w:val="clear" w:color="auto" w:fill="FFFFFF"/>
        </w:rPr>
        <w:t>.</w:t>
      </w:r>
      <w:r w:rsidRPr="00C43BA4">
        <w:rPr>
          <w:rFonts w:ascii="Times New Roman" w:eastAsia="Cambria Math" w:hAnsi="Times New Roman" w:cs="Times New Roman"/>
          <w:sz w:val="24"/>
          <w:szCs w:val="24"/>
        </w:rPr>
        <w:t xml:space="preserve">  </w:t>
      </w:r>
    </w:p>
    <w:p w14:paraId="747A9204" w14:textId="77777777" w:rsidR="00C43BA4" w:rsidRPr="00C43BA4" w:rsidRDefault="00C43BA4" w:rsidP="00C43BA4">
      <w:pPr>
        <w:widowControl w:val="0"/>
        <w:autoSpaceDE w:val="0"/>
        <w:autoSpaceDN w:val="0"/>
        <w:adjustRightInd w:val="0"/>
        <w:spacing w:after="0" w:line="240" w:lineRule="auto"/>
        <w:ind w:left="720"/>
        <w:jc w:val="both"/>
        <w:rPr>
          <w:rFonts w:ascii="Times New Roman" w:eastAsia="Cambria Math" w:hAnsi="Times New Roman" w:cs="Times New Roman"/>
          <w:sz w:val="24"/>
          <w:szCs w:val="24"/>
        </w:rPr>
      </w:pPr>
    </w:p>
    <w:p w14:paraId="1D40980B" w14:textId="0366D4B2" w:rsidR="00C43BA4" w:rsidRPr="00C43BA4" w:rsidRDefault="00C43BA4" w:rsidP="00C43BA4">
      <w:pPr>
        <w:widowControl w:val="0"/>
        <w:autoSpaceDE w:val="0"/>
        <w:autoSpaceDN w:val="0"/>
        <w:adjustRightInd w:val="0"/>
        <w:spacing w:after="0" w:line="240" w:lineRule="auto"/>
        <w:ind w:firstLine="720"/>
        <w:jc w:val="both"/>
        <w:rPr>
          <w:rFonts w:ascii="Times New Roman" w:eastAsia="Cambria Math" w:hAnsi="Times New Roman" w:cs="Times New Roman"/>
          <w:sz w:val="24"/>
          <w:szCs w:val="24"/>
        </w:rPr>
      </w:pPr>
      <w:r w:rsidRPr="00C43BA4">
        <w:rPr>
          <w:rFonts w:ascii="Times New Roman" w:eastAsia="Times New Roman" w:hAnsi="Times New Roman" w:cs="Times New Roman"/>
          <w:sz w:val="24"/>
          <w:szCs w:val="20"/>
        </w:rPr>
        <w:t>(b)</w:t>
      </w:r>
      <w:r w:rsidRPr="00C43BA4">
        <w:rPr>
          <w:rFonts w:ascii="Times New Roman" w:eastAsia="Times New Roman" w:hAnsi="Times New Roman" w:cs="Times New Roman"/>
          <w:sz w:val="24"/>
          <w:szCs w:val="20"/>
        </w:rPr>
        <w:tab/>
      </w:r>
      <w:r w:rsidRPr="00C43BA4">
        <w:rPr>
          <w:rFonts w:ascii="Times New Roman" w:eastAsia="Cambria Math" w:hAnsi="Times New Roman" w:cs="Times New Roman"/>
          <w:sz w:val="24"/>
          <w:szCs w:val="24"/>
        </w:rPr>
        <w:t xml:space="preserve">Notwithstanding anything contained in this Agreement to the contrary, the Lender shall have no right or claim to receive or encumber any Excluded </w:t>
      </w:r>
      <w:r w:rsidR="00F017DC">
        <w:rPr>
          <w:rFonts w:ascii="Times New Roman" w:eastAsia="Cambria Math" w:hAnsi="Times New Roman" w:cs="Times New Roman"/>
          <w:sz w:val="24"/>
          <w:szCs w:val="24"/>
        </w:rPr>
        <w:t>[</w:t>
      </w:r>
      <w:bookmarkStart w:id="1" w:name="_Hlk152751899"/>
      <w:r w:rsidR="00F017DC" w:rsidRPr="003231C2">
        <w:rPr>
          <w:rFonts w:ascii="Times New Roman" w:eastAsia="Cambria Math" w:hAnsi="Times New Roman" w:cs="Times New Roman"/>
          <w:i/>
          <w:iCs/>
          <w:sz w:val="24"/>
          <w:szCs w:val="24"/>
        </w:rPr>
        <w:t>insert program name reference</w:t>
      </w:r>
      <w:bookmarkEnd w:id="1"/>
      <w:r w:rsidR="00F017DC" w:rsidRPr="003231C2">
        <w:rPr>
          <w:rFonts w:ascii="Times New Roman" w:eastAsia="Cambria Math" w:hAnsi="Times New Roman" w:cs="Times New Roman"/>
          <w:i/>
          <w:iCs/>
          <w:sz w:val="24"/>
          <w:szCs w:val="24"/>
        </w:rPr>
        <w:t xml:space="preserve">, e.g., </w:t>
      </w:r>
      <w:r w:rsidRPr="003231C2">
        <w:rPr>
          <w:rFonts w:ascii="Times New Roman" w:eastAsia="Cambria Math" w:hAnsi="Times New Roman" w:cs="Times New Roman"/>
          <w:i/>
          <w:iCs/>
          <w:sz w:val="24"/>
          <w:szCs w:val="24"/>
        </w:rPr>
        <w:t>QIPP</w:t>
      </w:r>
      <w:r w:rsidR="00F017DC">
        <w:rPr>
          <w:rFonts w:ascii="Times New Roman" w:eastAsia="Cambria Math" w:hAnsi="Times New Roman" w:cs="Times New Roman"/>
          <w:sz w:val="24"/>
          <w:szCs w:val="24"/>
        </w:rPr>
        <w:t>]</w:t>
      </w:r>
      <w:r w:rsidRPr="00C43BA4">
        <w:rPr>
          <w:rFonts w:ascii="Times New Roman" w:eastAsia="Cambria Math" w:hAnsi="Times New Roman" w:cs="Times New Roman"/>
          <w:sz w:val="24"/>
          <w:szCs w:val="24"/>
        </w:rPr>
        <w:t xml:space="preserve"> Proceeds. As used herein “</w:t>
      </w:r>
      <w:r w:rsidRPr="00C43BA4">
        <w:rPr>
          <w:rFonts w:ascii="Times New Roman" w:eastAsia="Cambria Math" w:hAnsi="Times New Roman" w:cs="Times New Roman"/>
          <w:b/>
          <w:sz w:val="24"/>
          <w:szCs w:val="24"/>
        </w:rPr>
        <w:t xml:space="preserve">Excluded </w:t>
      </w:r>
      <w:r w:rsidR="00F017DC">
        <w:rPr>
          <w:rFonts w:ascii="Times New Roman" w:eastAsia="Cambria Math" w:hAnsi="Times New Roman" w:cs="Times New Roman"/>
          <w:b/>
          <w:sz w:val="24"/>
          <w:szCs w:val="24"/>
        </w:rPr>
        <w:t>[</w:t>
      </w:r>
      <w:r w:rsidR="00F017DC" w:rsidRPr="00F017DC">
        <w:rPr>
          <w:rFonts w:ascii="Times New Roman" w:eastAsia="Cambria Math" w:hAnsi="Times New Roman" w:cs="Times New Roman"/>
          <w:b/>
          <w:i/>
          <w:iCs/>
          <w:sz w:val="24"/>
          <w:szCs w:val="24"/>
        </w:rPr>
        <w:t>insert program name reference</w:t>
      </w:r>
      <w:r w:rsidR="00F017DC">
        <w:rPr>
          <w:rFonts w:ascii="Times New Roman" w:eastAsia="Cambria Math" w:hAnsi="Times New Roman" w:cs="Times New Roman"/>
          <w:b/>
          <w:sz w:val="24"/>
          <w:szCs w:val="24"/>
        </w:rPr>
        <w:t>]</w:t>
      </w:r>
      <w:r w:rsidRPr="00C43BA4">
        <w:rPr>
          <w:rFonts w:ascii="Times New Roman" w:eastAsia="Cambria Math" w:hAnsi="Times New Roman" w:cs="Times New Roman"/>
          <w:b/>
          <w:sz w:val="24"/>
          <w:szCs w:val="24"/>
        </w:rPr>
        <w:t xml:space="preserve"> Proceeds</w:t>
      </w:r>
      <w:r w:rsidRPr="00C43BA4">
        <w:rPr>
          <w:rFonts w:ascii="Times New Roman" w:eastAsia="Cambria Math" w:hAnsi="Times New Roman" w:cs="Times New Roman"/>
          <w:sz w:val="24"/>
          <w:szCs w:val="24"/>
        </w:rPr>
        <w:t xml:space="preserve">” shall mean any payment received by Operator with respect to the Healthcare Facility from CMS, the State of </w:t>
      </w:r>
      <w:r w:rsidR="00F017DC">
        <w:rPr>
          <w:rFonts w:ascii="Times New Roman" w:eastAsia="Cambria Math" w:hAnsi="Times New Roman" w:cs="Times New Roman"/>
          <w:sz w:val="24"/>
          <w:szCs w:val="24"/>
        </w:rPr>
        <w:t>[</w:t>
      </w:r>
      <w:r w:rsidR="00F017DC" w:rsidRPr="003231C2">
        <w:rPr>
          <w:rFonts w:ascii="Times New Roman" w:eastAsia="Cambria Math" w:hAnsi="Times New Roman" w:cs="Times New Roman"/>
          <w:i/>
          <w:iCs/>
          <w:sz w:val="24"/>
          <w:szCs w:val="24"/>
        </w:rPr>
        <w:t>insert State</w:t>
      </w:r>
      <w:r w:rsidR="00F017DC">
        <w:rPr>
          <w:rFonts w:ascii="Times New Roman" w:eastAsia="Cambria Math" w:hAnsi="Times New Roman" w:cs="Times New Roman"/>
          <w:sz w:val="24"/>
          <w:szCs w:val="24"/>
        </w:rPr>
        <w:t>]</w:t>
      </w:r>
      <w:r w:rsidRPr="00C43BA4">
        <w:rPr>
          <w:rFonts w:ascii="Times New Roman" w:eastAsia="Cambria Math" w:hAnsi="Times New Roman" w:cs="Times New Roman"/>
          <w:sz w:val="24"/>
          <w:szCs w:val="24"/>
        </w:rPr>
        <w:t xml:space="preserve">, or any of their respective intermediaries or contractors, including Medicaid managed care organizations, for participation in </w:t>
      </w:r>
      <w:bookmarkStart w:id="2" w:name="_Hlk152751972"/>
      <w:r w:rsidR="00F017DC">
        <w:rPr>
          <w:rFonts w:ascii="Times New Roman" w:eastAsia="Cambria Math" w:hAnsi="Times New Roman" w:cs="Times New Roman"/>
          <w:sz w:val="24"/>
          <w:szCs w:val="24"/>
        </w:rPr>
        <w:t>[</w:t>
      </w:r>
      <w:r w:rsidR="00F017DC" w:rsidRPr="003231C2">
        <w:rPr>
          <w:rFonts w:ascii="Times New Roman" w:eastAsia="Cambria Math" w:hAnsi="Times New Roman" w:cs="Times New Roman"/>
          <w:i/>
          <w:iCs/>
          <w:sz w:val="24"/>
          <w:szCs w:val="24"/>
        </w:rPr>
        <w:t>insert program name reference</w:t>
      </w:r>
      <w:r w:rsidR="00F017DC">
        <w:rPr>
          <w:rFonts w:ascii="Times New Roman" w:eastAsia="Cambria Math" w:hAnsi="Times New Roman" w:cs="Times New Roman"/>
          <w:sz w:val="24"/>
          <w:szCs w:val="24"/>
        </w:rPr>
        <w:t>]</w:t>
      </w:r>
      <w:bookmarkEnd w:id="2"/>
      <w:r w:rsidRPr="00C43BA4">
        <w:rPr>
          <w:rFonts w:ascii="Times New Roman" w:eastAsia="Cambria Math" w:hAnsi="Times New Roman" w:cs="Times New Roman"/>
          <w:sz w:val="24"/>
          <w:szCs w:val="24"/>
        </w:rPr>
        <w:t xml:space="preserve"> or any successor program, as amended and as may be amended in the future, for services provided to Medicaid residents of the Healthcare Facility that are in excess of the standard Medicaid reimbursement rates for nursing facilities, established by </w:t>
      </w:r>
      <w:bookmarkStart w:id="3" w:name="_Hlk152752052"/>
      <w:r w:rsidR="00F017DC">
        <w:rPr>
          <w:rFonts w:ascii="Times New Roman" w:eastAsia="Cambria Math" w:hAnsi="Times New Roman" w:cs="Times New Roman"/>
          <w:sz w:val="24"/>
          <w:szCs w:val="24"/>
        </w:rPr>
        <w:t>[</w:t>
      </w:r>
      <w:r w:rsidR="00F017DC" w:rsidRPr="003231C2">
        <w:rPr>
          <w:rFonts w:ascii="Times New Roman" w:eastAsia="Cambria Math" w:hAnsi="Times New Roman" w:cs="Times New Roman"/>
          <w:i/>
          <w:iCs/>
          <w:sz w:val="24"/>
          <w:szCs w:val="24"/>
        </w:rPr>
        <w:t>insert administering entity</w:t>
      </w:r>
      <w:r w:rsidR="00F017DC">
        <w:rPr>
          <w:rFonts w:ascii="Times New Roman" w:eastAsia="Cambria Math" w:hAnsi="Times New Roman" w:cs="Times New Roman"/>
          <w:sz w:val="24"/>
          <w:szCs w:val="24"/>
        </w:rPr>
        <w:t>]</w:t>
      </w:r>
      <w:bookmarkEnd w:id="3"/>
      <w:r w:rsidRPr="00C43BA4">
        <w:rPr>
          <w:rFonts w:ascii="Times New Roman" w:eastAsia="Cambria Math" w:hAnsi="Times New Roman" w:cs="Times New Roman"/>
          <w:sz w:val="24"/>
          <w:szCs w:val="24"/>
        </w:rPr>
        <w:t xml:space="preserve">, including, without limitation, payments related to </w:t>
      </w:r>
      <w:r w:rsidR="00F017DC" w:rsidRPr="00F017DC">
        <w:rPr>
          <w:rFonts w:ascii="Times New Roman" w:eastAsia="Cambria Math" w:hAnsi="Times New Roman" w:cs="Times New Roman"/>
          <w:sz w:val="24"/>
          <w:szCs w:val="24"/>
        </w:rPr>
        <w:t>[</w:t>
      </w:r>
      <w:r w:rsidR="00F017DC" w:rsidRPr="00F017DC">
        <w:rPr>
          <w:rFonts w:ascii="Times New Roman" w:eastAsia="Cambria Math" w:hAnsi="Times New Roman" w:cs="Times New Roman"/>
          <w:i/>
          <w:iCs/>
          <w:sz w:val="24"/>
          <w:szCs w:val="24"/>
        </w:rPr>
        <w:t>insert program name reference</w:t>
      </w:r>
      <w:r w:rsidR="00F017DC" w:rsidRPr="00F017DC">
        <w:rPr>
          <w:rFonts w:ascii="Times New Roman" w:eastAsia="Cambria Math" w:hAnsi="Times New Roman" w:cs="Times New Roman"/>
          <w:sz w:val="24"/>
          <w:szCs w:val="24"/>
        </w:rPr>
        <w:t>]</w:t>
      </w:r>
      <w:r w:rsidR="00F017DC">
        <w:rPr>
          <w:rFonts w:ascii="Times New Roman" w:eastAsia="Cambria Math" w:hAnsi="Times New Roman" w:cs="Times New Roman"/>
          <w:sz w:val="24"/>
          <w:szCs w:val="24"/>
        </w:rPr>
        <w:t xml:space="preserve"> [</w:t>
      </w:r>
      <w:r w:rsidR="00F017DC" w:rsidRPr="003231C2">
        <w:rPr>
          <w:rFonts w:ascii="Times New Roman" w:eastAsia="Cambria Math" w:hAnsi="Times New Roman" w:cs="Times New Roman"/>
          <w:i/>
          <w:iCs/>
          <w:sz w:val="24"/>
          <w:szCs w:val="24"/>
        </w:rPr>
        <w:t xml:space="preserve">insert any specific payment structure, e.g., </w:t>
      </w:r>
      <w:r w:rsidRPr="003231C2">
        <w:rPr>
          <w:rFonts w:ascii="Times New Roman" w:eastAsia="Cambria Math" w:hAnsi="Times New Roman" w:cs="Times New Roman"/>
          <w:i/>
          <w:iCs/>
          <w:sz w:val="24"/>
          <w:szCs w:val="24"/>
        </w:rPr>
        <w:t>component one, component two, component three, component four, and lapsing quality metrics funds</w:t>
      </w:r>
      <w:r w:rsidR="00F017DC">
        <w:rPr>
          <w:rFonts w:ascii="Times New Roman" w:eastAsia="Cambria Math" w:hAnsi="Times New Roman" w:cs="Times New Roman"/>
          <w:sz w:val="24"/>
          <w:szCs w:val="24"/>
        </w:rPr>
        <w:t>]</w:t>
      </w:r>
      <w:r w:rsidRPr="00C43BA4">
        <w:rPr>
          <w:rFonts w:ascii="Times New Roman" w:eastAsia="Cambria Math" w:hAnsi="Times New Roman" w:cs="Times New Roman"/>
          <w:sz w:val="24"/>
          <w:szCs w:val="24"/>
        </w:rPr>
        <w:t xml:space="preserve">, as well as the amount of any and all intergovernmental transfers made by Operator, directly or indirectly, to </w:t>
      </w:r>
      <w:r w:rsidR="00F017DC" w:rsidRPr="00F017DC">
        <w:rPr>
          <w:rFonts w:ascii="Times New Roman" w:eastAsia="Cambria Math" w:hAnsi="Times New Roman" w:cs="Times New Roman"/>
          <w:sz w:val="24"/>
          <w:szCs w:val="24"/>
        </w:rPr>
        <w:t>[</w:t>
      </w:r>
      <w:r w:rsidR="00F017DC" w:rsidRPr="00F017DC">
        <w:rPr>
          <w:rFonts w:ascii="Times New Roman" w:eastAsia="Cambria Math" w:hAnsi="Times New Roman" w:cs="Times New Roman"/>
          <w:i/>
          <w:iCs/>
          <w:sz w:val="24"/>
          <w:szCs w:val="24"/>
        </w:rPr>
        <w:t>insert administering entity</w:t>
      </w:r>
      <w:r w:rsidR="00F017DC" w:rsidRPr="00F017DC">
        <w:rPr>
          <w:rFonts w:ascii="Times New Roman" w:eastAsia="Cambria Math" w:hAnsi="Times New Roman" w:cs="Times New Roman"/>
          <w:sz w:val="24"/>
          <w:szCs w:val="24"/>
        </w:rPr>
        <w:t>]</w:t>
      </w:r>
      <w:r w:rsidRPr="00C43BA4">
        <w:rPr>
          <w:rFonts w:ascii="Times New Roman" w:eastAsia="Cambria Math" w:hAnsi="Times New Roman" w:cs="Times New Roman"/>
          <w:sz w:val="24"/>
          <w:szCs w:val="24"/>
        </w:rPr>
        <w:t xml:space="preserve"> (or any successor agency) pursuant to </w:t>
      </w:r>
      <w:r w:rsidR="00F017DC">
        <w:rPr>
          <w:rFonts w:ascii="Times New Roman" w:eastAsia="Cambria Math" w:hAnsi="Times New Roman" w:cs="Times New Roman"/>
          <w:sz w:val="24"/>
          <w:szCs w:val="24"/>
        </w:rPr>
        <w:t>[</w:t>
      </w:r>
      <w:r w:rsidR="00F017DC" w:rsidRPr="00B41FDE">
        <w:rPr>
          <w:rFonts w:ascii="Times New Roman" w:eastAsia="Cambria Math" w:hAnsi="Times New Roman" w:cs="Times New Roman"/>
          <w:i/>
          <w:iCs/>
          <w:sz w:val="24"/>
          <w:szCs w:val="24"/>
        </w:rPr>
        <w:t>insert program name reference</w:t>
      </w:r>
      <w:r w:rsidR="00F017DC">
        <w:rPr>
          <w:rFonts w:ascii="Times New Roman" w:eastAsia="Cambria Math" w:hAnsi="Times New Roman" w:cs="Times New Roman"/>
          <w:sz w:val="24"/>
          <w:szCs w:val="24"/>
        </w:rPr>
        <w:t>]</w:t>
      </w:r>
      <w:r w:rsidRPr="00C43BA4">
        <w:rPr>
          <w:rFonts w:ascii="Times New Roman" w:eastAsia="Cambria Math" w:hAnsi="Times New Roman" w:cs="Times New Roman"/>
          <w:sz w:val="24"/>
          <w:szCs w:val="24"/>
        </w:rPr>
        <w:t xml:space="preserve">. </w:t>
      </w:r>
    </w:p>
    <w:p w14:paraId="5215A9BF" w14:textId="77777777" w:rsidR="00C43BA4" w:rsidRPr="00C43BA4" w:rsidRDefault="00C43BA4" w:rsidP="00C43BA4">
      <w:pPr>
        <w:widowControl w:val="0"/>
        <w:autoSpaceDE w:val="0"/>
        <w:autoSpaceDN w:val="0"/>
        <w:adjustRightInd w:val="0"/>
        <w:spacing w:after="0" w:line="240" w:lineRule="auto"/>
        <w:ind w:left="720" w:firstLine="720"/>
        <w:jc w:val="both"/>
        <w:rPr>
          <w:rFonts w:ascii="Times New Roman" w:eastAsia="Cambria Math" w:hAnsi="Times New Roman" w:cs="Times New Roman"/>
          <w:sz w:val="24"/>
          <w:szCs w:val="24"/>
        </w:rPr>
      </w:pPr>
    </w:p>
    <w:p w14:paraId="241DF6BB" w14:textId="5AB541E8" w:rsidR="00C43BA4" w:rsidRPr="00C43BA4" w:rsidRDefault="00C43BA4" w:rsidP="00C43BA4">
      <w:pPr>
        <w:widowControl w:val="0"/>
        <w:kinsoku w:val="0"/>
        <w:spacing w:after="0" w:line="240" w:lineRule="auto"/>
        <w:ind w:firstLine="720"/>
        <w:jc w:val="both"/>
        <w:rPr>
          <w:rFonts w:ascii="Times New Roman" w:eastAsia="Cambria Math" w:hAnsi="Times New Roman" w:cs="Times New Roman"/>
          <w:sz w:val="24"/>
          <w:szCs w:val="24"/>
        </w:rPr>
      </w:pPr>
      <w:r w:rsidRPr="00C43BA4">
        <w:rPr>
          <w:rFonts w:ascii="Times New Roman" w:eastAsia="Cambria Math" w:hAnsi="Times New Roman" w:cs="Times New Roman"/>
          <w:sz w:val="24"/>
          <w:szCs w:val="24"/>
        </w:rPr>
        <w:t>(c)</w:t>
      </w:r>
      <w:r w:rsidRPr="00C43BA4">
        <w:rPr>
          <w:rFonts w:ascii="Times New Roman" w:eastAsia="Cambria Math" w:hAnsi="Times New Roman" w:cs="Times New Roman"/>
          <w:sz w:val="24"/>
          <w:szCs w:val="24"/>
        </w:rPr>
        <w:tab/>
        <w:t xml:space="preserve">In accordance with Section 26(b) above, if Excluded </w:t>
      </w:r>
      <w:r w:rsidR="00F017DC">
        <w:rPr>
          <w:rFonts w:ascii="Times New Roman" w:eastAsia="Cambria Math" w:hAnsi="Times New Roman" w:cs="Times New Roman"/>
          <w:sz w:val="24"/>
          <w:szCs w:val="24"/>
        </w:rPr>
        <w:t>[</w:t>
      </w:r>
      <w:r w:rsidR="00F017DC" w:rsidRPr="00B41FDE">
        <w:rPr>
          <w:rFonts w:ascii="Times New Roman" w:eastAsia="Cambria Math" w:hAnsi="Times New Roman" w:cs="Times New Roman"/>
          <w:i/>
          <w:iCs/>
          <w:sz w:val="24"/>
          <w:szCs w:val="24"/>
        </w:rPr>
        <w:t>insert program name reference</w:t>
      </w:r>
      <w:r w:rsidR="00F017DC">
        <w:rPr>
          <w:rFonts w:ascii="Times New Roman" w:eastAsia="Cambria Math" w:hAnsi="Times New Roman" w:cs="Times New Roman"/>
          <w:sz w:val="24"/>
          <w:szCs w:val="24"/>
        </w:rPr>
        <w:t>]</w:t>
      </w:r>
      <w:r w:rsidRPr="00C43BA4">
        <w:rPr>
          <w:rFonts w:ascii="Times New Roman" w:eastAsia="Cambria Math" w:hAnsi="Times New Roman" w:cs="Times New Roman"/>
          <w:sz w:val="24"/>
          <w:szCs w:val="24"/>
        </w:rPr>
        <w:t xml:space="preserve"> Proceeds are deposited into an account subject to this Agreement after the Lender obtains control of the account pursuant to a DACA, the Lender agrees that the Excluded </w:t>
      </w:r>
      <w:r w:rsidR="00F017DC">
        <w:rPr>
          <w:rFonts w:ascii="Times New Roman" w:eastAsia="Cambria Math" w:hAnsi="Times New Roman" w:cs="Times New Roman"/>
          <w:sz w:val="24"/>
          <w:szCs w:val="24"/>
        </w:rPr>
        <w:t>[</w:t>
      </w:r>
      <w:r w:rsidR="00F017DC" w:rsidRPr="00B41FDE">
        <w:rPr>
          <w:rFonts w:ascii="Times New Roman" w:eastAsia="Cambria Math" w:hAnsi="Times New Roman" w:cs="Times New Roman"/>
          <w:i/>
          <w:iCs/>
          <w:sz w:val="24"/>
          <w:szCs w:val="24"/>
        </w:rPr>
        <w:t>insert program name reference</w:t>
      </w:r>
      <w:r w:rsidR="00F017DC">
        <w:rPr>
          <w:rFonts w:ascii="Times New Roman" w:eastAsia="Cambria Math" w:hAnsi="Times New Roman" w:cs="Times New Roman"/>
          <w:sz w:val="24"/>
          <w:szCs w:val="24"/>
        </w:rPr>
        <w:t>]</w:t>
      </w:r>
      <w:r w:rsidRPr="00C43BA4">
        <w:rPr>
          <w:rFonts w:ascii="Times New Roman" w:eastAsia="Cambria Math" w:hAnsi="Times New Roman" w:cs="Times New Roman"/>
          <w:sz w:val="24"/>
          <w:szCs w:val="24"/>
        </w:rPr>
        <w:t xml:space="preserve"> Proceeds are to be transferred as instructed by Operator within three (3) business days after receiving written notice from Operator.</w:t>
      </w:r>
    </w:p>
    <w:p w14:paraId="2C8F1E74" w14:textId="77777777" w:rsidR="00C43BA4" w:rsidRPr="00C43BA4" w:rsidRDefault="00C43BA4" w:rsidP="00C43BA4">
      <w:pPr>
        <w:widowControl w:val="0"/>
        <w:kinsoku w:val="0"/>
        <w:spacing w:after="0" w:line="240" w:lineRule="auto"/>
        <w:ind w:firstLine="720"/>
        <w:jc w:val="both"/>
        <w:rPr>
          <w:rFonts w:ascii="Times New Roman" w:eastAsia="Times New Roman" w:hAnsi="Times New Roman" w:cs="Times New Roman"/>
          <w:sz w:val="24"/>
          <w:szCs w:val="20"/>
          <w:u w:val="double"/>
        </w:rPr>
      </w:pPr>
    </w:p>
    <w:p w14:paraId="09901CAA" w14:textId="42C1AF5D" w:rsidR="00C43BA4" w:rsidRPr="00C43BA4" w:rsidRDefault="00C43BA4" w:rsidP="00C43BA4">
      <w:pPr>
        <w:widowControl w:val="0"/>
        <w:kinsoku w:val="0"/>
        <w:spacing w:after="0" w:line="240" w:lineRule="auto"/>
        <w:ind w:firstLine="720"/>
        <w:jc w:val="both"/>
        <w:rPr>
          <w:rFonts w:ascii="Times New Roman" w:eastAsia="Times New Roman" w:hAnsi="Times New Roman" w:cs="Times New Roman"/>
          <w:sz w:val="24"/>
          <w:szCs w:val="20"/>
          <w:u w:val="double"/>
        </w:rPr>
      </w:pPr>
      <w:r w:rsidRPr="00C43BA4">
        <w:rPr>
          <w:rFonts w:ascii="Times New Roman" w:eastAsia="Times New Roman" w:hAnsi="Times New Roman" w:cs="Times New Roman"/>
          <w:sz w:val="24"/>
          <w:szCs w:val="20"/>
          <w:u w:val="double"/>
        </w:rPr>
        <w:t>(d)</w:t>
      </w:r>
      <w:r w:rsidRPr="00C43BA4">
        <w:rPr>
          <w:rFonts w:ascii="Times New Roman" w:eastAsia="Times New Roman" w:hAnsi="Times New Roman" w:cs="Times New Roman"/>
          <w:sz w:val="24"/>
          <w:szCs w:val="20"/>
          <w:u w:val="double"/>
        </w:rPr>
        <w:tab/>
        <w:t xml:space="preserve">For avoidance of doubt, the parties agree and acknowledge that Government Payments that are not Excluded </w:t>
      </w:r>
      <w:r w:rsidR="00F017DC">
        <w:rPr>
          <w:rFonts w:ascii="Times New Roman" w:eastAsia="Cambria Math" w:hAnsi="Times New Roman" w:cs="Times New Roman"/>
          <w:sz w:val="24"/>
          <w:szCs w:val="24"/>
        </w:rPr>
        <w:t>[</w:t>
      </w:r>
      <w:r w:rsidR="00F017DC" w:rsidRPr="00B41FDE">
        <w:rPr>
          <w:rFonts w:ascii="Times New Roman" w:eastAsia="Cambria Math" w:hAnsi="Times New Roman" w:cs="Times New Roman"/>
          <w:i/>
          <w:iCs/>
          <w:sz w:val="24"/>
          <w:szCs w:val="24"/>
        </w:rPr>
        <w:t>insert program name reference</w:t>
      </w:r>
      <w:r w:rsidR="00F017DC">
        <w:rPr>
          <w:rFonts w:ascii="Times New Roman" w:eastAsia="Cambria Math" w:hAnsi="Times New Roman" w:cs="Times New Roman"/>
          <w:sz w:val="24"/>
          <w:szCs w:val="24"/>
        </w:rPr>
        <w:t>]</w:t>
      </w:r>
      <w:r w:rsidRPr="00C43BA4">
        <w:rPr>
          <w:rFonts w:ascii="Times New Roman" w:eastAsia="Times New Roman" w:hAnsi="Times New Roman" w:cs="Times New Roman"/>
          <w:sz w:val="24"/>
          <w:szCs w:val="20"/>
          <w:u w:val="double"/>
        </w:rPr>
        <w:t xml:space="preserve"> Proceeds are available for delinquencies and operating needs of the Healthcare Facility. </w:t>
      </w:r>
    </w:p>
    <w:p w14:paraId="7FEEECBA" w14:textId="77777777" w:rsidR="00C43BA4" w:rsidRDefault="00C43BA4" w:rsidP="00B8125D"/>
    <w:p w14:paraId="64195158" w14:textId="797ED900" w:rsidR="00F017DC" w:rsidRPr="003231C2" w:rsidRDefault="00F017DC" w:rsidP="00B8125D">
      <w:pPr>
        <w:rPr>
          <w:sz w:val="28"/>
          <w:szCs w:val="28"/>
        </w:rPr>
      </w:pPr>
      <w:r w:rsidRPr="003231C2">
        <w:rPr>
          <w:sz w:val="28"/>
          <w:szCs w:val="28"/>
        </w:rPr>
        <w:t>Facility Operators:</w:t>
      </w:r>
    </w:p>
    <w:p w14:paraId="3AEC5BE6" w14:textId="61E18AFC" w:rsidR="00F017DC" w:rsidRDefault="00F017DC" w:rsidP="003231C2">
      <w:r>
        <w:t>Add language to the definition of “Government Payments” in Section 2(h) to call out the facility operator IGT/UPL/QIPP proceeds.  For example:</w:t>
      </w:r>
    </w:p>
    <w:p w14:paraId="188E5F1F" w14:textId="77777777" w:rsidR="00F017DC" w:rsidRDefault="00F017DC" w:rsidP="00F017DC">
      <w:pPr>
        <w:ind w:left="1440"/>
      </w:pPr>
    </w:p>
    <w:p w14:paraId="28E3F690" w14:textId="19C2D443" w:rsidR="00F017DC" w:rsidRDefault="00F017DC" w:rsidP="00F017DC">
      <w:pPr>
        <w:numPr>
          <w:ilvl w:val="1"/>
          <w:numId w:val="6"/>
        </w:numPr>
        <w:spacing w:after="0" w:line="240" w:lineRule="auto"/>
        <w:ind w:firstLine="720"/>
        <w:jc w:val="both"/>
        <w:rPr>
          <w:rFonts w:ascii="Times New Roman" w:hAnsi="Times New Roman" w:cs="Times New Roman"/>
          <w:color w:val="000000"/>
          <w:sz w:val="24"/>
          <w:szCs w:val="24"/>
        </w:rPr>
      </w:pPr>
      <w:r>
        <w:t>“…</w:t>
      </w:r>
      <w:r>
        <w:rPr>
          <w:rFonts w:ascii="Times New Roman" w:hAnsi="Times New Roman" w:cs="Times New Roman"/>
          <w:color w:val="000000"/>
          <w:sz w:val="24"/>
          <w:szCs w:val="24"/>
        </w:rPr>
        <w:t>As used herein, “</w:t>
      </w:r>
      <w:r>
        <w:rPr>
          <w:rFonts w:ascii="Times New Roman" w:hAnsi="Times New Roman" w:cs="Times New Roman"/>
          <w:b/>
          <w:bCs/>
          <w:color w:val="000000"/>
          <w:sz w:val="24"/>
          <w:szCs w:val="24"/>
        </w:rPr>
        <w:t>Government Payment</w:t>
      </w:r>
      <w:r>
        <w:rPr>
          <w:rFonts w:ascii="Times New Roman" w:hAnsi="Times New Roman" w:cs="Times New Roman"/>
          <w:color w:val="000000"/>
          <w:sz w:val="24"/>
          <w:szCs w:val="24"/>
        </w:rPr>
        <w:t xml:space="preserve">” means a </w:t>
      </w:r>
      <w:r>
        <w:rPr>
          <w:rFonts w:ascii="Times New Roman" w:hAnsi="Times New Roman" w:cs="Times New Roman"/>
          <w:sz w:val="24"/>
          <w:szCs w:val="24"/>
        </w:rPr>
        <w:t xml:space="preserve">payment from a governmental entity and shall include, without limitation, payments governed under the Social Security Act (42 U.S.C. §§ 1395 </w:t>
      </w:r>
      <w:r>
        <w:rPr>
          <w:rFonts w:ascii="Times New Roman" w:hAnsi="Times New Roman" w:cs="Times New Roman"/>
          <w:i/>
          <w:iCs/>
          <w:sz w:val="24"/>
          <w:szCs w:val="24"/>
        </w:rPr>
        <w:t>et seq.</w:t>
      </w:r>
      <w:r>
        <w:rPr>
          <w:rFonts w:ascii="Times New Roman" w:hAnsi="Times New Roman" w:cs="Times New Roman"/>
          <w:sz w:val="24"/>
          <w:szCs w:val="24"/>
        </w:rPr>
        <w:t>), including payments under Medicare, Medicaid and TRICARE/CHAMPUS, and payments administered or regulated by the Centers for Medicare and Medicaid Services of the U.S. Department of Health and Human Services</w:t>
      </w:r>
      <w:r w:rsidRPr="003231C2">
        <w:rPr>
          <w:rFonts w:ascii="Times New Roman" w:hAnsi="Times New Roman" w:cs="Times New Roman"/>
          <w:sz w:val="24"/>
          <w:szCs w:val="24"/>
        </w:rPr>
        <w:t xml:space="preserve">, and the </w:t>
      </w:r>
      <w:r w:rsidR="00FB3920" w:rsidRPr="003231C2">
        <w:rPr>
          <w:rFonts w:ascii="Times New Roman" w:hAnsi="Times New Roman" w:cs="Times New Roman"/>
          <w:sz w:val="24"/>
          <w:szCs w:val="24"/>
        </w:rPr>
        <w:t>[</w:t>
      </w:r>
      <w:r w:rsidR="00FB3920" w:rsidRPr="003231C2">
        <w:rPr>
          <w:rFonts w:ascii="Times New Roman" w:hAnsi="Times New Roman" w:cs="Times New Roman"/>
          <w:i/>
          <w:iCs/>
          <w:sz w:val="24"/>
          <w:szCs w:val="24"/>
        </w:rPr>
        <w:t xml:space="preserve">insert entity and program name reference, e.g., </w:t>
      </w:r>
      <w:r w:rsidRPr="003231C2">
        <w:rPr>
          <w:rFonts w:ascii="Times New Roman" w:hAnsi="Times New Roman" w:cs="Times New Roman"/>
          <w:i/>
          <w:iCs/>
          <w:sz w:val="24"/>
          <w:szCs w:val="24"/>
        </w:rPr>
        <w:t>Sublandlord’s QIPP</w:t>
      </w:r>
      <w:r w:rsidR="00FB3920" w:rsidRPr="003231C2">
        <w:rPr>
          <w:rFonts w:ascii="Times New Roman" w:hAnsi="Times New Roman" w:cs="Times New Roman"/>
          <w:sz w:val="24"/>
          <w:szCs w:val="24"/>
        </w:rPr>
        <w:t>]</w:t>
      </w:r>
      <w:r w:rsidRPr="003231C2">
        <w:rPr>
          <w:rFonts w:ascii="Times New Roman" w:hAnsi="Times New Roman" w:cs="Times New Roman"/>
          <w:sz w:val="24"/>
          <w:szCs w:val="24"/>
        </w:rPr>
        <w:t xml:space="preserve"> Proceeds</w:t>
      </w:r>
      <w:r>
        <w:rPr>
          <w:rFonts w:ascii="Times New Roman" w:hAnsi="Times New Roman" w:cs="Times New Roman"/>
          <w:sz w:val="24"/>
          <w:szCs w:val="24"/>
        </w:rPr>
        <w:t>.”</w:t>
      </w:r>
    </w:p>
    <w:p w14:paraId="3615FBFF" w14:textId="77777777" w:rsidR="00F017DC" w:rsidRPr="003231C2" w:rsidRDefault="00F017DC" w:rsidP="00B8125D"/>
    <w:sectPr w:rsidR="00F017DC" w:rsidRPr="003231C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4090A" w14:textId="77777777" w:rsidR="002F1AF2" w:rsidRDefault="002F1AF2" w:rsidP="00A05E16">
      <w:pPr>
        <w:spacing w:after="0" w:line="240" w:lineRule="auto"/>
      </w:pPr>
      <w:r>
        <w:separator/>
      </w:r>
    </w:p>
  </w:endnote>
  <w:endnote w:type="continuationSeparator" w:id="0">
    <w:p w14:paraId="66072BE1" w14:textId="77777777" w:rsidR="002F1AF2" w:rsidRDefault="002F1AF2" w:rsidP="00A05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29066" w14:textId="26ADACBA" w:rsidR="00A05E16" w:rsidRDefault="00A05E16" w:rsidP="00A05E16">
    <w:pPr>
      <w:pStyle w:val="Footer"/>
      <w:jc w:val="right"/>
    </w:pPr>
    <w:r>
      <w:t xml:space="preserve">Version:  </w:t>
    </w:r>
    <w:r w:rsidR="003231C2">
      <w:t>December</w:t>
    </w:r>
    <w:r>
      <w:t xml:space="preserve"> 202</w:t>
    </w:r>
    <w:r w:rsidR="003231C2">
      <w:t>3</w:t>
    </w:r>
  </w:p>
  <w:p w14:paraId="2857B72F" w14:textId="2EC92992" w:rsidR="00A05E16" w:rsidRDefault="00935DBA" w:rsidP="00935DBA">
    <w:pPr>
      <w:pStyle w:val="Footer"/>
      <w:jc w:val="right"/>
    </w:pPr>
    <w:r>
      <w:t>ORCF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156EF" w14:textId="77777777" w:rsidR="002F1AF2" w:rsidRDefault="002F1AF2" w:rsidP="00A05E16">
      <w:pPr>
        <w:spacing w:after="0" w:line="240" w:lineRule="auto"/>
      </w:pPr>
      <w:r>
        <w:separator/>
      </w:r>
    </w:p>
  </w:footnote>
  <w:footnote w:type="continuationSeparator" w:id="0">
    <w:p w14:paraId="01701109" w14:textId="77777777" w:rsidR="002F1AF2" w:rsidRDefault="002F1AF2" w:rsidP="00A05E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64B30"/>
    <w:multiLevelType w:val="hybridMultilevel"/>
    <w:tmpl w:val="5E1CD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1437F"/>
    <w:multiLevelType w:val="hybridMultilevel"/>
    <w:tmpl w:val="AFBEB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C745B4"/>
    <w:multiLevelType w:val="multilevel"/>
    <w:tmpl w:val="33B04E16"/>
    <w:lvl w:ilvl="0">
      <w:start w:val="1"/>
      <w:numFmt w:val="decimal"/>
      <w:lvlText w:val="%1."/>
      <w:lvlJc w:val="left"/>
      <w:pPr>
        <w:ind w:left="720" w:hanging="720"/>
      </w:pPr>
      <w:rPr>
        <w:rFonts w:ascii="Times New Roman" w:hAnsi="Times New Roman" w:hint="default"/>
        <w:b/>
        <w:i w:val="0"/>
        <w:color w:val="auto"/>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 w15:restartNumberingAfterBreak="0">
    <w:nsid w:val="401F2160"/>
    <w:multiLevelType w:val="hybridMultilevel"/>
    <w:tmpl w:val="3C5866E2"/>
    <w:lvl w:ilvl="0" w:tplc="B64E6E1A">
      <w:start w:val="26"/>
      <w:numFmt w:val="decimal"/>
      <w:lvlText w:val="%1."/>
      <w:lvlJc w:val="left"/>
      <w:pPr>
        <w:ind w:left="720" w:hanging="360"/>
      </w:pPr>
      <w:rPr>
        <w:rFonts w:hint="default"/>
        <w:b/>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B633C3"/>
    <w:multiLevelType w:val="multilevel"/>
    <w:tmpl w:val="D58C13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71667771">
    <w:abstractNumId w:val="0"/>
  </w:num>
  <w:num w:numId="2" w16cid:durableId="1063260062">
    <w:abstractNumId w:val="1"/>
  </w:num>
  <w:num w:numId="3" w16cid:durableId="1094326348">
    <w:abstractNumId w:val="4"/>
  </w:num>
  <w:num w:numId="4" w16cid:durableId="1874883905">
    <w:abstractNumId w:val="2"/>
  </w:num>
  <w:num w:numId="5" w16cid:durableId="394593405">
    <w:abstractNumId w:val="3"/>
  </w:num>
  <w:num w:numId="6" w16cid:durableId="17058597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2A9"/>
    <w:rsid w:val="001168E9"/>
    <w:rsid w:val="00123387"/>
    <w:rsid w:val="00131CBF"/>
    <w:rsid w:val="001E4798"/>
    <w:rsid w:val="001F2C23"/>
    <w:rsid w:val="00222DFE"/>
    <w:rsid w:val="00292B8B"/>
    <w:rsid w:val="002E371C"/>
    <w:rsid w:val="002F1AF2"/>
    <w:rsid w:val="003231C2"/>
    <w:rsid w:val="003436C7"/>
    <w:rsid w:val="003D6516"/>
    <w:rsid w:val="004B23E5"/>
    <w:rsid w:val="00504B2D"/>
    <w:rsid w:val="00586E8F"/>
    <w:rsid w:val="006003BD"/>
    <w:rsid w:val="00627548"/>
    <w:rsid w:val="006B07B7"/>
    <w:rsid w:val="00771792"/>
    <w:rsid w:val="007D483D"/>
    <w:rsid w:val="008029E5"/>
    <w:rsid w:val="00815F42"/>
    <w:rsid w:val="00817717"/>
    <w:rsid w:val="00857B1C"/>
    <w:rsid w:val="00865584"/>
    <w:rsid w:val="0088079D"/>
    <w:rsid w:val="008F3193"/>
    <w:rsid w:val="00903293"/>
    <w:rsid w:val="00935DBA"/>
    <w:rsid w:val="009C1CBD"/>
    <w:rsid w:val="00A05E16"/>
    <w:rsid w:val="00A31034"/>
    <w:rsid w:val="00A71B7B"/>
    <w:rsid w:val="00AA4217"/>
    <w:rsid w:val="00B047CE"/>
    <w:rsid w:val="00B72C1F"/>
    <w:rsid w:val="00B8125D"/>
    <w:rsid w:val="00BE7E5C"/>
    <w:rsid w:val="00C43BA4"/>
    <w:rsid w:val="00CB4E62"/>
    <w:rsid w:val="00CC40EB"/>
    <w:rsid w:val="00CD134A"/>
    <w:rsid w:val="00CE0DD6"/>
    <w:rsid w:val="00D03E37"/>
    <w:rsid w:val="00DE4C2F"/>
    <w:rsid w:val="00E17AD6"/>
    <w:rsid w:val="00E31C14"/>
    <w:rsid w:val="00E41F5F"/>
    <w:rsid w:val="00EB48EC"/>
    <w:rsid w:val="00F017DC"/>
    <w:rsid w:val="00F22396"/>
    <w:rsid w:val="00F442A9"/>
    <w:rsid w:val="00FB3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4DC5C"/>
  <w15:chartTrackingRefBased/>
  <w15:docId w15:val="{6C008AAD-1597-4B79-A3CF-4D52E54E9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E16"/>
  </w:style>
  <w:style w:type="paragraph" w:styleId="Footer">
    <w:name w:val="footer"/>
    <w:basedOn w:val="Normal"/>
    <w:link w:val="FooterChar"/>
    <w:uiPriority w:val="99"/>
    <w:unhideWhenUsed/>
    <w:rsid w:val="00A05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E16"/>
  </w:style>
  <w:style w:type="table" w:styleId="TableGrid">
    <w:name w:val="Table Grid"/>
    <w:basedOn w:val="TableNormal"/>
    <w:uiPriority w:val="39"/>
    <w:rsid w:val="00865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40EB"/>
    <w:pPr>
      <w:ind w:left="720"/>
      <w:contextualSpacing/>
    </w:pPr>
  </w:style>
  <w:style w:type="character" w:styleId="Hyperlink">
    <w:name w:val="Hyperlink"/>
    <w:basedOn w:val="DefaultParagraphFont"/>
    <w:uiPriority w:val="99"/>
    <w:semiHidden/>
    <w:unhideWhenUsed/>
    <w:rsid w:val="00B8125D"/>
    <w:rPr>
      <w:color w:val="0563C1"/>
      <w:u w:val="single"/>
    </w:rPr>
  </w:style>
  <w:style w:type="paragraph" w:styleId="NormalWeb">
    <w:name w:val="Normal (Web)"/>
    <w:basedOn w:val="Normal"/>
    <w:uiPriority w:val="99"/>
    <w:semiHidden/>
    <w:unhideWhenUsed/>
    <w:rsid w:val="00B8125D"/>
    <w:pPr>
      <w:spacing w:before="100" w:beforeAutospacing="1" w:after="100" w:afterAutospacing="1" w:line="240" w:lineRule="auto"/>
    </w:pPr>
    <w:rPr>
      <w:rFonts w:ascii="Calibri" w:hAnsi="Calibri" w:cs="Calibri"/>
    </w:rPr>
  </w:style>
  <w:style w:type="paragraph" w:styleId="Revision">
    <w:name w:val="Revision"/>
    <w:hidden/>
    <w:uiPriority w:val="99"/>
    <w:semiHidden/>
    <w:rsid w:val="00C43B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72822">
      <w:bodyDiv w:val="1"/>
      <w:marLeft w:val="0"/>
      <w:marRight w:val="0"/>
      <w:marTop w:val="0"/>
      <w:marBottom w:val="0"/>
      <w:divBdr>
        <w:top w:val="none" w:sz="0" w:space="0" w:color="auto"/>
        <w:left w:val="none" w:sz="0" w:space="0" w:color="auto"/>
        <w:bottom w:val="none" w:sz="0" w:space="0" w:color="auto"/>
        <w:right w:val="none" w:sz="0" w:space="0" w:color="auto"/>
      </w:divBdr>
    </w:div>
    <w:div w:id="412439480">
      <w:bodyDiv w:val="1"/>
      <w:marLeft w:val="0"/>
      <w:marRight w:val="0"/>
      <w:marTop w:val="0"/>
      <w:marBottom w:val="0"/>
      <w:divBdr>
        <w:top w:val="none" w:sz="0" w:space="0" w:color="auto"/>
        <w:left w:val="none" w:sz="0" w:space="0" w:color="auto"/>
        <w:bottom w:val="none" w:sz="0" w:space="0" w:color="auto"/>
        <w:right w:val="none" w:sz="0" w:space="0" w:color="auto"/>
      </w:divBdr>
    </w:div>
    <w:div w:id="592470300">
      <w:bodyDiv w:val="1"/>
      <w:marLeft w:val="0"/>
      <w:marRight w:val="0"/>
      <w:marTop w:val="0"/>
      <w:marBottom w:val="0"/>
      <w:divBdr>
        <w:top w:val="none" w:sz="0" w:space="0" w:color="auto"/>
        <w:left w:val="none" w:sz="0" w:space="0" w:color="auto"/>
        <w:bottom w:val="none" w:sz="0" w:space="0" w:color="auto"/>
        <w:right w:val="none" w:sz="0" w:space="0" w:color="auto"/>
      </w:divBdr>
    </w:div>
    <w:div w:id="613100539">
      <w:bodyDiv w:val="1"/>
      <w:marLeft w:val="0"/>
      <w:marRight w:val="0"/>
      <w:marTop w:val="0"/>
      <w:marBottom w:val="0"/>
      <w:divBdr>
        <w:top w:val="none" w:sz="0" w:space="0" w:color="auto"/>
        <w:left w:val="none" w:sz="0" w:space="0" w:color="auto"/>
        <w:bottom w:val="none" w:sz="0" w:space="0" w:color="auto"/>
        <w:right w:val="none" w:sz="0" w:space="0" w:color="auto"/>
      </w:divBdr>
    </w:div>
    <w:div w:id="746151024">
      <w:bodyDiv w:val="1"/>
      <w:marLeft w:val="0"/>
      <w:marRight w:val="0"/>
      <w:marTop w:val="0"/>
      <w:marBottom w:val="0"/>
      <w:divBdr>
        <w:top w:val="none" w:sz="0" w:space="0" w:color="auto"/>
        <w:left w:val="none" w:sz="0" w:space="0" w:color="auto"/>
        <w:bottom w:val="none" w:sz="0" w:space="0" w:color="auto"/>
        <w:right w:val="none" w:sz="0" w:space="0" w:color="auto"/>
      </w:divBdr>
    </w:div>
    <w:div w:id="829442927">
      <w:bodyDiv w:val="1"/>
      <w:marLeft w:val="0"/>
      <w:marRight w:val="0"/>
      <w:marTop w:val="0"/>
      <w:marBottom w:val="0"/>
      <w:divBdr>
        <w:top w:val="none" w:sz="0" w:space="0" w:color="auto"/>
        <w:left w:val="none" w:sz="0" w:space="0" w:color="auto"/>
        <w:bottom w:val="none" w:sz="0" w:space="0" w:color="auto"/>
        <w:right w:val="none" w:sz="0" w:space="0" w:color="auto"/>
      </w:divBdr>
    </w:div>
    <w:div w:id="1361977231">
      <w:bodyDiv w:val="1"/>
      <w:marLeft w:val="0"/>
      <w:marRight w:val="0"/>
      <w:marTop w:val="0"/>
      <w:marBottom w:val="0"/>
      <w:divBdr>
        <w:top w:val="none" w:sz="0" w:space="0" w:color="auto"/>
        <w:left w:val="none" w:sz="0" w:space="0" w:color="auto"/>
        <w:bottom w:val="none" w:sz="0" w:space="0" w:color="auto"/>
        <w:right w:val="none" w:sz="0" w:space="0" w:color="auto"/>
      </w:divBdr>
    </w:div>
    <w:div w:id="1363481084">
      <w:bodyDiv w:val="1"/>
      <w:marLeft w:val="0"/>
      <w:marRight w:val="0"/>
      <w:marTop w:val="0"/>
      <w:marBottom w:val="0"/>
      <w:divBdr>
        <w:top w:val="none" w:sz="0" w:space="0" w:color="auto"/>
        <w:left w:val="none" w:sz="0" w:space="0" w:color="auto"/>
        <w:bottom w:val="none" w:sz="0" w:space="0" w:color="auto"/>
        <w:right w:val="none" w:sz="0" w:space="0" w:color="auto"/>
      </w:divBdr>
    </w:div>
    <w:div w:id="1463187432">
      <w:bodyDiv w:val="1"/>
      <w:marLeft w:val="0"/>
      <w:marRight w:val="0"/>
      <w:marTop w:val="0"/>
      <w:marBottom w:val="0"/>
      <w:divBdr>
        <w:top w:val="none" w:sz="0" w:space="0" w:color="auto"/>
        <w:left w:val="none" w:sz="0" w:space="0" w:color="auto"/>
        <w:bottom w:val="none" w:sz="0" w:space="0" w:color="auto"/>
        <w:right w:val="none" w:sz="0" w:space="0" w:color="auto"/>
      </w:divBdr>
    </w:div>
    <w:div w:id="209461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1199</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Housing and Urban Development</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Tadlock, Jennifer M</dc:creator>
  <cp:keywords/>
  <dc:description/>
  <cp:lastModifiedBy>Gosselin, Susan</cp:lastModifiedBy>
  <cp:revision>7</cp:revision>
  <dcterms:created xsi:type="dcterms:W3CDTF">2023-12-06T15:31:00Z</dcterms:created>
  <dcterms:modified xsi:type="dcterms:W3CDTF">2023-12-21T13:06:00Z</dcterms:modified>
</cp:coreProperties>
</file>