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455563051"/>
        <w:docPartObj>
          <w:docPartGallery w:val="Table of Contents"/>
          <w:docPartUnique/>
        </w:docPartObj>
      </w:sdtPr>
      <w:sdtEndPr>
        <w:rPr>
          <w:rFonts w:ascii="Arial" w:hAnsi="Arial"/>
          <w:noProof/>
          <w:sz w:val="18"/>
        </w:rPr>
      </w:sdtEndPr>
      <w:sdtContent>
        <w:p w14:paraId="2E798515" w14:textId="0891BA36" w:rsidR="00A74C6E" w:rsidRDefault="00C13A13" w:rsidP="00A74C6E">
          <w:pPr>
            <w:pStyle w:val="TOCHeading"/>
            <w:spacing w:before="0" w:after="120"/>
            <w:rPr>
              <w:rFonts w:eastAsia="Times New Roman"/>
              <w:color w:val="000000"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1" locked="0" layoutInCell="1" allowOverlap="1" wp14:anchorId="42847371" wp14:editId="59A14CD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8201025</wp:posOffset>
                    </wp:positionV>
                    <wp:extent cx="3114675" cy="553720"/>
                    <wp:effectExtent l="0" t="0" r="9525" b="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14675" cy="553720"/>
                            </a:xfrm>
                            <a:prstGeom prst="rect">
                              <a:avLst/>
                            </a:prstGeom>
                            <a:solidFill>
                              <a:srgbClr val="212E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EB604" w14:textId="26B8031E" w:rsidR="0061442F" w:rsidRDefault="0061442F">
                                <w:pPr>
                                  <w:spacing w:before="3" w:line="263" w:lineRule="exact"/>
                                  <w:jc w:val="center"/>
                                  <w:textAlignment w:val="baseline"/>
                                  <w:rPr>
                                    <w:rFonts w:eastAsia="Arial"/>
                                    <w:color w:val="FFFFFF"/>
                                    <w:spacing w:val="-7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Arial"/>
                                    <w:color w:val="FFFFFF"/>
                                    <w:spacing w:val="-7"/>
                                    <w:sz w:val="24"/>
                                  </w:rPr>
                                  <w:t>June 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473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645.75pt;width:245.25pt;height:43.6pt;z-index:-2516500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0XAAIAAN8DAAAOAAAAZHJzL2Uyb0RvYy54bWysU8tu2zAQvBfoPxC817Lk2ikEy0HqNEWB&#10;9AEk/QCKoiSiFJdd0pbSr++Sst0gvRW9EEtyd7gzO9xeT4NhR4Veg614vlhypqyERtuu4t8f7968&#10;48wHYRthwKqKPynPr3evX21HV6oCejCNQkYg1pejq3gfgiuzzMteDcIvwClLly3gIAJtscsaFCOh&#10;DyYrlstNNgI2DkEq7+n0dr7ku4TftkqGr23rVWCm4tRbSCumtY5rttuKskPhei1PbYh/6GIQ2tKj&#10;F6hbEQQ7oP4LatASwUMbFhKGDNpWS5U4EJt8+YLNQy+cSlxIHO8uMvn/Byu/HL8h003FC86sGGhE&#10;j2oK7D1MrIjqjM6XlPTgKC1MdExTTky9uwf5wzML+17YTt0gwtgr0VB3eazMnpXOOD6C1ONnaOgZ&#10;cQiQgKYWhygdicEInab0dJlMbEXS4SrP326u1pxJuluvV1dFGl0mynO1Qx8+KhhYDCqONPmELo73&#10;PsRuRHlOiY95MLq508akDXb13iA7CnJJkRcfNqtE4EWasTHZQiybEeNJohmZzRzDVE8n2Wponogw&#10;wuw6+iUU9IC/OBvJcRX3Pw8CFWfmkyXRoj3PAZ6D+hwIK6m04oGzOdyH2cYHh7rrCXkei4UbErbV&#10;iXOcwNzFqU9yUZLi5Pho0+f7lPXnX+5+AwAA//8DAFBLAwQUAAYACAAAACEADgv0tuEAAAAKAQAA&#10;DwAAAGRycy9kb3ducmV2LnhtbEyPQU/CQBCF7yb+h82YeJMtiEJrt4SYGMPBBJCQ9LZ0x7ayO1u7&#10;C9R/73jS28x7kzffyxeDs+KMfWg9KRiPEhBIlTct1Qp27y93cxAhajLaekIF3xhgUVxf5Toz/kIb&#10;PG9jLTiEQqYVNDF2mZShatDpMPIdEnsfvnc68trX0vT6wuHOykmSPEqnW+IPje7wucHquD05BfsS&#10;p+ly/RrLdvN2/LJhtfp0pVK3N8PyCUTEIf4dwy8+o0PBTAd/IhOEVcBFIquTdPwAgv1pmvBwYOl+&#10;Np+BLHL5v0LxAwAA//8DAFBLAQItABQABgAIAAAAIQC2gziS/gAAAOEBAAATAAAAAAAAAAAAAAAA&#10;AAAAAABbQ29udGVudF9UeXBlc10ueG1sUEsBAi0AFAAGAAgAAAAhADj9If/WAAAAlAEAAAsAAAAA&#10;AAAAAAAAAAAALwEAAF9yZWxzLy5yZWxzUEsBAi0AFAAGAAgAAAAhACrlvRcAAgAA3wMAAA4AAAAA&#10;AAAAAAAAAAAALgIAAGRycy9lMm9Eb2MueG1sUEsBAi0AFAAGAAgAAAAhAA4L9LbhAAAACgEAAA8A&#10;AAAAAAAAAAAAAAAAWgQAAGRycy9kb3ducmV2LnhtbFBLBQYAAAAABAAEAPMAAABoBQAAAAA=&#10;" fillcolor="#212e63" stroked="f">
                    <v:textbox inset="0,0,0,0">
                      <w:txbxContent>
                        <w:p w14:paraId="4A5EB604" w14:textId="26B8031E" w:rsidR="0061442F" w:rsidRDefault="0061442F">
                          <w:pPr>
                            <w:spacing w:before="3" w:line="263" w:lineRule="exact"/>
                            <w:jc w:val="center"/>
                            <w:textAlignment w:val="baseline"/>
                            <w:rPr>
                              <w:rFonts w:eastAsia="Arial"/>
                              <w:color w:val="FFFFFF"/>
                              <w:spacing w:val="-7"/>
                              <w:sz w:val="24"/>
                            </w:rPr>
                          </w:pPr>
                          <w:r>
                            <w:rPr>
                              <w:rFonts w:eastAsia="Arial"/>
                              <w:color w:val="FFFFFF"/>
                              <w:spacing w:val="-7"/>
                              <w:sz w:val="24"/>
                            </w:rPr>
                            <w:t>June 2021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A74C6E">
            <w:rPr>
              <w:rFonts w:ascii="Times New Roman" w:eastAsiaTheme="minorEastAsia" w:hAnsi="Times New Roman" w:cs="Times New Roman"/>
              <w:b w:val="0"/>
              <w:bCs w:val="0"/>
              <w:color w:val="auto"/>
              <w:sz w:val="20"/>
              <w:szCs w:val="20"/>
              <w:lang w:eastAsia="en-US"/>
            </w:rPr>
            <w:br w:type="page"/>
          </w:r>
          <w:r w:rsidR="00A74C6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AAB9395" wp14:editId="6349990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772400" cy="10058400"/>
                    <wp:effectExtent l="0" t="0" r="0" b="0"/>
                    <wp:wrapNone/>
                    <wp:docPr id="7" name="_x0000_s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212E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9B05B3" w14:textId="77777777" w:rsidR="0061442F" w:rsidRDefault="0061442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AB9395" id="_x0000_s0" o:spid="_x0000_s1027" type="#_x0000_t202" style="position:absolute;margin-left:0;margin-top:0;width:612pt;height:1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yqDAIAAPcDAAAOAAAAZHJzL2Uyb0RvYy54bWysU01v2zAMvQ/YfxB0X/yxtOmMOEWXrsOA&#10;7gPodi5kWbaF2aJGKbGzXz9KTtNsuw3TQRBF6pHvkVpfT0PP9gqdBlPybJFypoyEWpu25N++3r26&#10;4sx5YWrRg1ElPyjHrzcvX6xHW6gcOuhrhYxAjCtGW/LOe1skiZOdGoRbgFWGnA3gIDyZ2CY1ipHQ&#10;hz7J0/QyGQFriyCVc3R7Ozv5JuI3jZL+c9M45VlfcqrNxx3jXoU92axF0aKwnZbHMsQ/VDEIbSjp&#10;CepWeMF2qP+CGrREcND4hYQhgabRUkUOxCZL/2Dz0AmrIhcSx9mTTO7/wcpP+y/IdF3yFWdGDNSi&#10;xyml9eiiOKN1BcU8WIry01uYqMmRqLP3IL87ZmDbCdOqG0QYOyVqKi4LsiZnT0M7XOECSDV+hJqy&#10;iJ2HCDQ1OATlSAtG6NSkw6kxavJM0uVqtcqXKbkk+bI0vbgKVkgiiqf3Fp1/r2Bg4VBypNZHfLG/&#10;d34OfQoJ6Rz0ur7TfR8NbKttj2wvaEzyLH93+fqI/ltYb0KwgfBsRgw3kWjgNrP0UzVFQaMKgXcF&#10;9YGYI8zTR7+FDh3gT85GmrySux87gYqz/oMh9d5ky2UY1WgsL1Y5GXjuqc49wkiCKrnnbD5u/Tze&#10;O4u67SjT3C8DN6R4o6MUz1Udy6fpimIef0IY33M7Rj3/180vAAAA//8DAFBLAwQUAAYACAAAACEA&#10;BN/2NtkAAAAHAQAADwAAAGRycy9kb3ducmV2LnhtbEyPQU/DMAyF70j8h8hI3FhKBWgqTacKVO3M&#10;6BDHpDFttcapkmwr/x6PC1ys9/Ss58/lZnGTOGGIoycF96sMBFLn7Ui9gva9uVuDiEmT1ZMnVPCN&#10;ETbV9VWpC+vP9IanXeoFl1AstIIhpbmQMnYDOh1Xfkbi7MsHpxPb0Esb9JnL3STzLHuSTo/EFwY9&#10;48uA3WF3dAo+Xttt4+utDYdPU9fGNKbdN0rd3iz1M4iES/pbhgs+o0PFTMYfyUYxKeBH0u+8ZHn+&#10;wN6welyzklUp//NXPwAAAP//AwBQSwECLQAUAAYACAAAACEAtoM4kv4AAADhAQAAEwAAAAAAAAAA&#10;AAAAAAAAAAAAW0NvbnRlbnRfVHlwZXNdLnhtbFBLAQItABQABgAIAAAAIQA4/SH/1gAAAJQBAAAL&#10;AAAAAAAAAAAAAAAAAC8BAABfcmVscy8ucmVsc1BLAQItABQABgAIAAAAIQD0+zyqDAIAAPcDAAAO&#10;AAAAAAAAAAAAAAAAAC4CAABkcnMvZTJvRG9jLnhtbFBLAQItABQABgAIAAAAIQAE3/Y22QAAAAcB&#10;AAAPAAAAAAAAAAAAAAAAAGYEAABkcnMvZG93bnJldi54bWxQSwUGAAAAAAQABADzAAAAbAUAAAAA&#10;" fillcolor="#212e63" stroked="f">
                    <v:textbox>
                      <w:txbxContent>
                        <w:p w14:paraId="379B05B3" w14:textId="77777777" w:rsidR="0061442F" w:rsidRDefault="0061442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74C6E"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197FF8C9" wp14:editId="5D77F1B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772400" cy="10058400"/>
                    <wp:effectExtent l="0" t="0" r="0" b="0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212E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67F5D" w14:textId="77777777" w:rsidR="0061442F" w:rsidRDefault="0061442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7FF8C9" id="Text Box 6" o:spid="_x0000_s1028" type="#_x0000_t202" style="position:absolute;margin-left:0;margin-top:0;width:612pt;height:11in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/IAQIAAOgDAAAOAAAAZHJzL2Uyb0RvYy54bWysU9uO0zAQfUfiHyy/01yAdhU1XS1dFiEt&#10;C9IuH+A4TmKReMzYbVK+nrHTlAXeEC/WjGfmeM6Z8fZ6Gnp2VOg0mJJnq5QzZSTU2rQl//p09+qK&#10;M+eFqUUPRpX8pBy/3r18sR1toXLooK8VMgIxrhhtyTvvbZEkTnZqEG4FVhkKNoCD8ORim9QoRkIf&#10;+iRP03UyAtYWQSrn6PZ2DvJdxG8aJf3npnHKs77k1JuPJ8azCmey24qiRWE7Lc9tiH/oYhDa0KMX&#10;qFvhBTug/gtq0BLBQeNXEoYEmkZLFTkQmyz9g81jJ6yKXEgcZy8yuf8HKx+OX5DpuuRrzowYaERP&#10;avLsHUxsHdQZrSso6dFSmp/omqYcmTp7D/KbYwb2nTCtukGEsVOipu6yUJk8K51xXACpxk9Q0zPi&#10;4CECTQ0OQToSgxE6Tel0mUxoRdLlZrPJ36QUkhTL0vTtVfDCI6JY6i06/0HBwIJRcqTZR3xxvHd+&#10;Tl1SwnMOel3f6b6PDrbVvkd2FLQneZa/X78+o/+W1puQbCCUzYjhJhIN3GaWfqqmqGi+6FdBfSLm&#10;CPP60XchowP8wdlIq1dy9/0gUHHWfzSkXtjTxcDFqBZDGEmlJfeczebez/t8sKjbjpDn+Ri4IYUb&#10;HamHUcxdnNuldYrinVc/7OtzP2b9+qC7nwAAAP//AwBQSwMEFAAGAAgAAAAhAHJzvV/dAAAABwEA&#10;AA8AAABkcnMvZG93bnJldi54bWxMj0FLw0AQhe+C/2EZwZvdGKq0MZtSCiI9CG2VQm7b7JjE7s6m&#10;2W0b/32nXvQyvMcb3nyTzwZnxQn70HpS8DhKQCBV3rRUK/j8eH2YgAhRk9HWEyr4wQCz4vYm15nx&#10;Z1rjaRNrwSUUMq2gibHLpAxVg06Hke+QOPvyvdORbV9L0+szlzsr0yR5lk63xBca3eGiwWq/OToF&#10;2xLH0/nqLZbt+n1/sGG5/HalUvd3w/wFRMQh/i3DFZ/RoWCmnT+SCcIq4Efi77xmaTpmv2P1NGEl&#10;i1z+5y8uAAAA//8DAFBLAQItABQABgAIAAAAIQC2gziS/gAAAOEBAAATAAAAAAAAAAAAAAAAAAAA&#10;AABbQ29udGVudF9UeXBlc10ueG1sUEsBAi0AFAAGAAgAAAAhADj9If/WAAAAlAEAAAsAAAAAAAAA&#10;AAAAAAAALwEAAF9yZWxzLy5yZWxzUEsBAi0AFAAGAAgAAAAhAKuXP8gBAgAA6AMAAA4AAAAAAAAA&#10;AAAAAAAALgIAAGRycy9lMm9Eb2MueG1sUEsBAi0AFAAGAAgAAAAhAHJzvV/dAAAABwEAAA8AAAAA&#10;AAAAAAAAAAAAWwQAAGRycy9kb3ducmV2LnhtbFBLBQYAAAAABAAEAPMAAABlBQAAAAA=&#10;" fillcolor="#212e63" stroked="f">
                    <v:textbox inset="0,0,0,0">
                      <w:txbxContent>
                        <w:p w14:paraId="51367F5D" w14:textId="77777777" w:rsidR="0061442F" w:rsidRDefault="0061442F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74C6E">
            <w:rPr>
              <w:noProof/>
            </w:rPr>
            <mc:AlternateContent>
              <mc:Choice Requires="wps">
                <w:drawing>
                  <wp:anchor distT="0" distB="0" distL="0" distR="0" simplePos="0" relativeHeight="251663360" behindDoc="1" locked="0" layoutInCell="1" allowOverlap="1" wp14:anchorId="5D7FCF64" wp14:editId="0B44231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772400" cy="10058400"/>
                    <wp:effectExtent l="0" t="0" r="0" b="0"/>
                    <wp:wrapSquare wrapText="bothSides"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0FCBC" w14:textId="77777777" w:rsidR="0061442F" w:rsidRDefault="0061442F">
                                <w:pPr>
                                  <w:textAlignment w:val="baseline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AC8BFE" wp14:editId="668364FD">
                                      <wp:extent cx="7772400" cy="10058400"/>
                                      <wp:effectExtent l="0" t="0" r="0" b="0"/>
                                      <wp:docPr id="23" name="Pictur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"/>
                                              <pic:cNvPicPr preferRelativeResize="0"/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72400" cy="1005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7FCF64" id="Text Box 5" o:spid="_x0000_s1029" type="#_x0000_t202" style="position:absolute;margin-left:0;margin-top:0;width:612pt;height:11in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ud6wEAAL8DAAAOAAAAZHJzL2Uyb0RvYy54bWysU9tu2zAMfR+wfxD0vtjJlqUw4hRdiw4D&#10;ugvQ7gNoWY6F2aJGKbGzrx8lx1m3vQ17ESiSOjw8pLbXY9+JoyZv0JZyucil0FZhbey+lF+f7l9d&#10;SeED2Bo6tLqUJ+3l9e7li+3gCr3CFrtak2AQ64vBlbINwRVZ5lWre/ALdNpysEHqIfCV9llNMDB6&#10;32WrPH+bDUi1I1Tae/beTUG5S/hNo1X43DReB9GVkrmFdFI6q3hmuy0UewLXGnWmAf/AogdjuegF&#10;6g4CiAOZv6B6owg9NmGhsM+waYzSqQfuZpn/0c1jC06nXlgc7y4y+f8Hqz4dv5AwdSnXUljoeURP&#10;egziHY5iHdUZnC846dFxWhjZzVNOnXr3gOqbFxZvW7B7fUOEQ6uhZnbL+DJ79nTC8RGkGj5izWXg&#10;EDABjQ31UToWQzA6T+l0mUykoti52WxWb3IOKY4t83x9FW+xCBTze0c+vNfYi2iUknj2CR+ODz5M&#10;qXNKLGfx3nQd+6Ho7G8OxoyexD9SnsiHsRqTUK9nWSqsT9wQ4bRV/AvYaJF+SDHwRpXSfz8AaSm6&#10;D5ZFies3GzQb1WyAVfy0lEGKybwN05oeHJl9y8iT7BZvWLjGpI6iwhOLM13ekqTJeaPjGj6/p6xf&#10;/273EwAA//8DAFBLAwQUAAYACAAAACEAz9MEYtsAAAAHAQAADwAAAGRycy9kb3ducmV2LnhtbEyP&#10;QU/DMAyF70j7D5GRuLGUakyjNJ0mxE5IiK4cOKaN10ZrnK7JtvLv8bjAxXpPz3r+nK8n14szjsF6&#10;UvAwT0AgNd5YahV8Vtv7FYgQNRnde0IF3xhgXcxucp0Zf6ESz7vYCi6hkGkFXYxDJmVoOnQ6zP2A&#10;xNnej05HtmMrzagvXO56mSbJUjptiS90esCXDpvD7uQUbL6ofLXH9/qj3Je2qp4SelselLq7nTbP&#10;ICJO8W8ZrviMDgUz1f5EJoheAT8Sf+c1S9MF+5rV44qVLHL5n7/4AQAA//8DAFBLAQItABQABgAI&#10;AAAAIQC2gziS/gAAAOEBAAATAAAAAAAAAAAAAAAAAAAAAABbQ29udGVudF9UeXBlc10ueG1sUEsB&#10;Ai0AFAAGAAgAAAAhADj9If/WAAAAlAEAAAsAAAAAAAAAAAAAAAAALwEAAF9yZWxzLy5yZWxzUEsB&#10;Ai0AFAAGAAgAAAAhAJiny53rAQAAvwMAAA4AAAAAAAAAAAAAAAAALgIAAGRycy9lMm9Eb2MueG1s&#10;UEsBAi0AFAAGAAgAAAAhAM/TBGLbAAAABwEAAA8AAAAAAAAAAAAAAAAARQQAAGRycy9kb3ducmV2&#10;LnhtbFBLBQYAAAAABAAEAPMAAABNBQAAAAA=&#10;" filled="f" stroked="f">
                    <v:textbox inset="0,0,0,0">
                      <w:txbxContent>
                        <w:p w14:paraId="32C0FCBC" w14:textId="77777777" w:rsidR="0061442F" w:rsidRDefault="0061442F">
                          <w:pPr>
                            <w:textAlignment w:val="baseli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C8BFE" wp14:editId="668364FD">
                                <wp:extent cx="7772400" cy="10058400"/>
                                <wp:effectExtent l="0" t="0" r="0" b="0"/>
                                <wp:docPr id="23" name="Pictur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"/>
                                        <pic:cNvPicPr preferRelativeResize="0"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2400" cy="1005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74C6E">
            <w:rPr>
              <w:noProof/>
            </w:rPr>
            <mc:AlternateContent>
              <mc:Choice Requires="wps">
                <w:drawing>
                  <wp:anchor distT="0" distB="0" distL="0" distR="0" simplePos="0" relativeHeight="251664384" behindDoc="1" locked="0" layoutInCell="1" allowOverlap="1" wp14:anchorId="50031B8C" wp14:editId="22449CCF">
                    <wp:simplePos x="0" y="0"/>
                    <wp:positionH relativeFrom="page">
                      <wp:posOffset>679450</wp:posOffset>
                    </wp:positionH>
                    <wp:positionV relativeFrom="page">
                      <wp:posOffset>7296785</wp:posOffset>
                    </wp:positionV>
                    <wp:extent cx="6620510" cy="433705"/>
                    <wp:effectExtent l="0" t="0" r="0" b="0"/>
                    <wp:wrapSquare wrapText="bothSides"/>
                    <wp:docPr id="22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0510" cy="433705"/>
                            </a:xfrm>
                            <a:prstGeom prst="rect">
                              <a:avLst/>
                            </a:prstGeom>
                            <a:solidFill>
                              <a:srgbClr val="212E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63652" w14:textId="77777777" w:rsidR="0061442F" w:rsidRDefault="0061442F">
                                <w:pPr>
                                  <w:spacing w:before="3" w:line="674" w:lineRule="exact"/>
                                  <w:textAlignment w:val="baseline"/>
                                  <w:rPr>
                                    <w:rFonts w:eastAsia="Arial"/>
                                    <w:color w:val="FFFFFF"/>
                                    <w:spacing w:val="13"/>
                                    <w:sz w:val="61"/>
                                  </w:rPr>
                                </w:pPr>
                                <w:r>
                                  <w:rPr>
                                    <w:rFonts w:eastAsia="Arial"/>
                                    <w:color w:val="FFFFFF"/>
                                    <w:spacing w:val="13"/>
                                    <w:sz w:val="61"/>
                                  </w:rPr>
                                  <w:t>FHA Commercial Mortgage Portfolio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031B8C" id="Text Box 22" o:spid="_x0000_s1030" type="#_x0000_t202" style="position:absolute;margin-left:53.5pt;margin-top:574.55pt;width:521.3pt;height:34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56AwIAAOgDAAAOAAAAZHJzL2Uyb0RvYy54bWysU9tu2zAMfR+wfxD0vviSNhuMOEWXrsOA&#10;7gK0+wBZlm1htqhRSuzs60fJcdZtb8NeBIoiD3kOqe3NNPTsqNBpMCXPVilnykiotWlL/vXp/tUb&#10;zpwXphY9GFXyk3L8ZvfyxXa0hcqhg75WyAjEuGK0Je+8t0WSONmpQbgVWGXosQEchKcrtkmNYiT0&#10;oU/yNN0kI2BtEaRyjrx38yPfRfymUdJ/bhqnPOtLTr35eGI8q3Amu60oWhS20/LchviHLgahDRW9&#10;QN0JL9gB9V9Qg5YIDhq/kjAk0DRaqsiB2GTpH2weO2FV5ELiOHuRyf0/WPnp+AWZrkue55wZMdCM&#10;ntTk2VuYGLlIn9G6gsIeLQX6ifw058jV2QeQ3xwzsO+EadUtIoydEjX1l4XM5FnqjOMCSDV+hJrq&#10;iIOHCDQ1OATxSA5G6DSn02U2oRdJzs0mT68zepL0drVev06vYwlRLNkWnX+vYGDBKDnS7CO6OD44&#10;H7oRxRISijnodX2v+z5esK32PbKjoD3Js/zdZn1G/y2sNyHYQEibEYMn0gzMZo5+qqao6NWiXgX1&#10;iXgjzOtH34WMDvAHZyOtXsnd94NAxVn/wZB2YU8XAxejWgxhJKWW3HM2m3s/7/PBom47Qp6nY+CW&#10;9G10pB4GMXdxbpfWKSpyXv2wr8/vMerXB939BAAA//8DAFBLAwQUAAYACAAAACEAURICu+IAAAAO&#10;AQAADwAAAGRycy9kb3ducmV2LnhtbEyPQUvDQBCF74L/YRnBm92khNam2ZQiiPQg2CqF3LbZMYnd&#10;nY3ZbRv/vdOT3r7HPN68V6xGZ8UZh9B5UpBOEhBItTcdNQo+3p8fHkGEqMlo6wkV/GCAVXl7U+jc&#10;+Att8byLjeAQCrlW0MbY51KGukWnw8T3SHz79IPTkeXQSDPoC4c7K6dJMpNOd8QfWt3jU4v1cXdy&#10;CvYVZov120usuu3r8duGzebLVUrd343rJYiIY/wzw7U+V4eSOx38iUwQlnUy5y2RIc0WKYirhWkG&#10;4sA0TecZyLKQ/2eUvwAAAP//AwBQSwECLQAUAAYACAAAACEAtoM4kv4AAADhAQAAEwAAAAAAAAAA&#10;AAAAAAAAAAAAW0NvbnRlbnRfVHlwZXNdLnhtbFBLAQItABQABgAIAAAAIQA4/SH/1gAAAJQBAAAL&#10;AAAAAAAAAAAAAAAAAC8BAABfcmVscy8ucmVsc1BLAQItABQABgAIAAAAIQCPoU56AwIAAOgDAAAO&#10;AAAAAAAAAAAAAAAAAC4CAABkcnMvZTJvRG9jLnhtbFBLAQItABQABgAIAAAAIQBREgK74gAAAA4B&#10;AAAPAAAAAAAAAAAAAAAAAF0EAABkcnMvZG93bnJldi54bWxQSwUGAAAAAAQABADzAAAAbAUAAAAA&#10;" fillcolor="#212e63" stroked="f">
                    <v:textbox inset="0,0,0,0">
                      <w:txbxContent>
                        <w:p w14:paraId="59C63652" w14:textId="77777777" w:rsidR="0061442F" w:rsidRDefault="0061442F">
                          <w:pPr>
                            <w:spacing w:before="3" w:line="674" w:lineRule="exact"/>
                            <w:textAlignment w:val="baseline"/>
                            <w:rPr>
                              <w:rFonts w:eastAsia="Arial"/>
                              <w:color w:val="FFFFFF"/>
                              <w:spacing w:val="13"/>
                              <w:sz w:val="61"/>
                            </w:rPr>
                          </w:pPr>
                          <w:r>
                            <w:rPr>
                              <w:rFonts w:eastAsia="Arial"/>
                              <w:color w:val="FFFFFF"/>
                              <w:spacing w:val="13"/>
                              <w:sz w:val="61"/>
                            </w:rPr>
                            <w:t>FHA Commercial Mortgage Portfolio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74C6E">
            <w:rPr>
              <w:noProof/>
            </w:rPr>
            <mc:AlternateContent>
              <mc:Choice Requires="wps">
                <w:drawing>
                  <wp:anchor distT="0" distB="0" distL="0" distR="0" simplePos="0" relativeHeight="251665408" behindDoc="1" locked="0" layoutInCell="1" allowOverlap="1" wp14:anchorId="3D406799" wp14:editId="5EEBD5BB">
                    <wp:simplePos x="0" y="0"/>
                    <wp:positionH relativeFrom="page">
                      <wp:posOffset>2209800</wp:posOffset>
                    </wp:positionH>
                    <wp:positionV relativeFrom="page">
                      <wp:posOffset>9246235</wp:posOffset>
                    </wp:positionV>
                    <wp:extent cx="4377055" cy="353695"/>
                    <wp:effectExtent l="0" t="0" r="0" b="0"/>
                    <wp:wrapSquare wrapText="bothSides"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77055" cy="353695"/>
                            </a:xfrm>
                            <a:prstGeom prst="rect">
                              <a:avLst/>
                            </a:prstGeom>
                            <a:solidFill>
                              <a:srgbClr val="212E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EBDA9" w14:textId="2257CBAC" w:rsidR="0061442F" w:rsidRDefault="0061442F">
                                <w:pPr>
                                  <w:spacing w:line="272" w:lineRule="exact"/>
                                  <w:jc w:val="both"/>
                                  <w:textAlignment w:val="baseline"/>
                                  <w:rPr>
                                    <w:rFonts w:eastAsia="Arial"/>
                                    <w:color w:val="FFFFFF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Arial"/>
                                    <w:color w:val="FFFFFF"/>
                                    <w:sz w:val="24"/>
                                  </w:rPr>
                                  <w:t>Office of Risk Management and Regulatory Affairs, Office of Evaluation, Reporting &amp; Analysis Division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406799" id="Text Box 3" o:spid="_x0000_s1031" type="#_x0000_t202" style="position:absolute;margin-left:174pt;margin-top:728.05pt;width:344.65pt;height:27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LpAwIAAOYDAAAOAAAAZHJzL2Uyb0RvYy54bWysU9uO0zAQfUfiHyy/0/RCuxA1XS1dFiEt&#10;F2mXD3AcJ7FwPGbsNilfz9hpugu8IV6ssT1zfM6Z8fZ66Aw7KvQabMEXszlnykqotG0K/u3x7tUb&#10;znwQthIGrCr4SXl+vXv5Ytu7XC2hBVMpZARifd67grchuDzLvGxVJ/wMnLJ0WQN2ItAWm6xC0RN6&#10;Z7LlfL7JesDKIUjlPZ3ejpd8l/DrWsnwpa69CswUnLiFtGJay7hmu63IGxSu1fJMQ/wDi05oS49e&#10;oG5FEOyA+i+oTksED3WYSegyqGstVdJAahbzP9Q8tMKppIXM8e5ik/9/sPLz8SsyXRV8xZkVHbXo&#10;UQ2BvYOBraI7vfM5JT04SgsDHVOXk1Lv7kF+98zCvhW2UTeI0LdKVMRuESuzZ6Ujjo8gZf8JKnpG&#10;HAIkoKHGLlpHZjBCpy6dLp2JVCQdvl5dXc3Xa84k3a3Wq83bdXpC5FO1Qx8+KOhYDAqO1PmELo73&#10;PkQ2Ip9S4mMejK7utDFpg025N8iOgqZkuVi+3yTpVPJbmrEx2UIsGxHjSZIZlY0aw1AOyc9EMFpQ&#10;QnUi3Qjj8NFnoaAF/MlZT4NXcP/jIFBxZj5a8i5O6RTgFJRTIKyk0oIHzsZwH8ZpPjjUTUvIY3cs&#10;3JC/tU7Sn1ic6dIwJUfOgx+n9fk+ZT19z90vAAAA//8DAFBLAwQUAAYACAAAACEA6Q9PW+QAAAAO&#10;AQAADwAAAGRycy9kb3ducmV2LnhtbEyPQUvDQBCF74L/YRnBm93EpDXGbEoRRHoQbBUht212TGKz&#10;szG7beO/d3rS2zze4833iuVke3HE0XeOFMSzCARS7UxHjYL3t6ebDIQPmozuHaGCH/SwLC8vCp0b&#10;d6INHrehEVxCPtcK2hCGXEpft2i1n7kBib1PN1odWI6NNKM+cbnt5W0ULaTVHfGHVg/42GK93x6s&#10;go8K0/vV63Oous3L/rv36/WXrZS6vppWDyACTuEvDGd8RoeSmXbuQMaLXkGSZrwlsJHOFzGIcyRK&#10;7hIQO77mcZyBLAv5f0b5CwAA//8DAFBLAQItABQABgAIAAAAIQC2gziS/gAAAOEBAAATAAAAAAAA&#10;AAAAAAAAAAAAAABbQ29udGVudF9UeXBlc10ueG1sUEsBAi0AFAAGAAgAAAAhADj9If/WAAAAlAEA&#10;AAsAAAAAAAAAAAAAAAAALwEAAF9yZWxzLy5yZWxzUEsBAi0AFAAGAAgAAAAhAE8z0ukDAgAA5gMA&#10;AA4AAAAAAAAAAAAAAAAALgIAAGRycy9lMm9Eb2MueG1sUEsBAi0AFAAGAAgAAAAhAOkPT1vkAAAA&#10;DgEAAA8AAAAAAAAAAAAAAAAAXQQAAGRycy9kb3ducmV2LnhtbFBLBQYAAAAABAAEAPMAAABuBQAA&#10;AAA=&#10;" fillcolor="#212e63" stroked="f">
                    <v:textbox inset="0,0,0,0">
                      <w:txbxContent>
                        <w:p w14:paraId="241EBDA9" w14:textId="2257CBAC" w:rsidR="0061442F" w:rsidRDefault="0061442F">
                          <w:pPr>
                            <w:spacing w:line="272" w:lineRule="exact"/>
                            <w:jc w:val="both"/>
                            <w:textAlignment w:val="baseline"/>
                            <w:rPr>
                              <w:rFonts w:eastAsia="Arial"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eastAsia="Arial"/>
                              <w:color w:val="FFFFFF"/>
                              <w:sz w:val="24"/>
                            </w:rPr>
                            <w:t>Office of Risk Management and Regulatory Affairs, Office of Evaluation, Reporting &amp; Analysis Division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179B1F8" w14:textId="77777777" w:rsidR="005A510E" w:rsidRDefault="005A510E" w:rsidP="005A510E">
          <w:pPr>
            <w:pStyle w:val="TOCHeading"/>
            <w:spacing w:before="0" w:after="120"/>
          </w:pPr>
        </w:p>
        <w:p w14:paraId="70CEEAE9" w14:textId="77777777" w:rsidR="005A510E" w:rsidRPr="004B3BA0" w:rsidRDefault="005A510E" w:rsidP="005A510E">
          <w:pPr>
            <w:pStyle w:val="TOCHeading"/>
            <w:spacing w:before="0" w:after="120"/>
            <w:rPr>
              <w:rFonts w:ascii="Arial" w:hAnsi="Arial" w:cs="Arial"/>
              <w:b w:val="0"/>
              <w:color w:val="000000" w:themeColor="text1"/>
            </w:rPr>
          </w:pPr>
          <w:r w:rsidRPr="00C81CDE">
            <w:rPr>
              <w:rFonts w:ascii="Arial" w:hAnsi="Arial" w:cs="Arial"/>
              <w:color w:val="000000" w:themeColor="text1"/>
            </w:rPr>
            <w:t>Table of Contents</w:t>
          </w:r>
        </w:p>
        <w:p w14:paraId="4D16F397" w14:textId="77777777" w:rsidR="005A510E" w:rsidRPr="00E50DF3" w:rsidRDefault="005A510E" w:rsidP="005A510E">
          <w:pPr>
            <w:spacing w:after="120"/>
            <w:rPr>
              <w:lang w:eastAsia="ja-JP"/>
            </w:rPr>
          </w:pPr>
        </w:p>
        <w:p w14:paraId="72D2B267" w14:textId="39D738FC" w:rsidR="00631984" w:rsidRPr="004B3BA0" w:rsidRDefault="005A510E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r w:rsidRPr="00E50DF3">
            <w:rPr>
              <w:b w:val="0"/>
              <w:sz w:val="20"/>
              <w:szCs w:val="20"/>
            </w:rPr>
            <w:fldChar w:fldCharType="begin"/>
          </w:r>
          <w:r w:rsidRPr="00E50DF3">
            <w:rPr>
              <w:b w:val="0"/>
              <w:sz w:val="20"/>
              <w:szCs w:val="20"/>
            </w:rPr>
            <w:instrText xml:space="preserve"> TOC \o "1-3" \h \z \u </w:instrText>
          </w:r>
          <w:r w:rsidRPr="00E50DF3">
            <w:rPr>
              <w:b w:val="0"/>
              <w:sz w:val="20"/>
              <w:szCs w:val="20"/>
            </w:rPr>
            <w:fldChar w:fldCharType="separate"/>
          </w:r>
          <w:hyperlink w:anchor="_Toc512950700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1. FHA Multifamily Apartments Insured Portfolio, Transitions within Portfolio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_Toc512950700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3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131610" w14:textId="20B8A4C6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1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2. FHA Multifamily Apartments Pipeline Summary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_Toc512950701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5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42309E" w14:textId="259B80EF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2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3. FHA Multifamily Apartments 60+ Day Default Rate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_Toc512950702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8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4FD7D8" w14:textId="04EA8402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3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4. FHA Residential Care Facilities Insured Portfolio, Transitions within Portfolio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_Toc512950703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10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184705" w14:textId="5A3AAB5A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4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5. FHA Residential Care Facilities Pipeline Summary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_Toc512950704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12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696494" w14:textId="1BE801DF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5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6. FHA Residential Care Facilities 60+ Day Default Rate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_Toc512950705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13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4472D6" w14:textId="478D15CD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6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7. FHA Hospital Facilities Insured Portfolio, Transitions within Portfolio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_Toc512950706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15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F632E3" w14:textId="73F9090F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7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8. FHA Hospital Facilities Pipeline Summary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_Toc512950707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17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0B22AF" w14:textId="511D701C" w:rsidR="00631984" w:rsidRPr="004B3BA0" w:rsidRDefault="004F0924">
          <w:pPr>
            <w:pStyle w:val="TOC1"/>
            <w:rPr>
              <w:rFonts w:asciiTheme="minorHAnsi" w:hAnsiTheme="minorHAnsi" w:cstheme="minorBidi"/>
              <w:b w:val="0"/>
              <w:bCs w:val="0"/>
              <w:noProof/>
              <w:sz w:val="20"/>
              <w:szCs w:val="20"/>
            </w:rPr>
          </w:pPr>
          <w:hyperlink w:anchor="_Toc512950708" w:history="1">
            <w:r w:rsidR="00631984" w:rsidRPr="004B3BA0">
              <w:rPr>
                <w:rStyle w:val="Hyperlink"/>
                <w:b w:val="0"/>
                <w:noProof/>
                <w:sz w:val="20"/>
                <w:szCs w:val="20"/>
              </w:rPr>
              <w:t>Table 9. FHA Hospital Facilities 60+ Day Default Rate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tab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instrText xml:space="preserve"> PAGEREF _Toc512950708 \h </w:instrTex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E3436F">
              <w:rPr>
                <w:b w:val="0"/>
                <w:noProof/>
                <w:webHidden/>
                <w:sz w:val="20"/>
                <w:szCs w:val="20"/>
              </w:rPr>
              <w:t>18</w:t>
            </w:r>
            <w:r w:rsidR="00631984" w:rsidRPr="004B3BA0">
              <w:rPr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6772F3" w14:textId="34EC9311" w:rsidR="00B90469" w:rsidRDefault="005A510E" w:rsidP="005A510E">
          <w:pPr>
            <w:spacing w:after="120"/>
            <w:rPr>
              <w:rFonts w:cs="Arial"/>
              <w:bCs/>
              <w:noProof/>
            </w:rPr>
          </w:pPr>
          <w:r w:rsidRPr="00E50DF3">
            <w:rPr>
              <w:rFonts w:cs="Arial"/>
              <w:bCs/>
              <w:noProof/>
            </w:rPr>
            <w:fldChar w:fldCharType="end"/>
          </w:r>
        </w:p>
        <w:p w14:paraId="2C579F0E" w14:textId="2DD24BDD" w:rsidR="00345B83" w:rsidRPr="00C81CDE" w:rsidRDefault="00345B83" w:rsidP="00345B83">
          <w:pPr>
            <w:pStyle w:val="TOCHeading"/>
            <w:spacing w:before="0" w:after="120"/>
            <w:rPr>
              <w:rFonts w:ascii="Arial" w:hAnsi="Arial" w:cs="Arial"/>
              <w:color w:val="000000" w:themeColor="text1"/>
            </w:rPr>
          </w:pPr>
          <w:r w:rsidRPr="00C81CDE">
            <w:rPr>
              <w:rFonts w:ascii="Arial" w:hAnsi="Arial" w:cs="Arial"/>
              <w:color w:val="000000" w:themeColor="text1"/>
            </w:rPr>
            <w:t xml:space="preserve">Table of </w:t>
          </w:r>
          <w:r>
            <w:rPr>
              <w:rFonts w:ascii="Arial" w:hAnsi="Arial" w:cs="Arial"/>
              <w:color w:val="000000" w:themeColor="text1"/>
            </w:rPr>
            <w:t>Figures</w:t>
          </w:r>
        </w:p>
        <w:p w14:paraId="2F7165B5" w14:textId="77777777" w:rsidR="00345B83" w:rsidRDefault="00345B83" w:rsidP="005A510E">
          <w:pPr>
            <w:spacing w:after="120"/>
            <w:rPr>
              <w:rFonts w:cs="Arial"/>
              <w:bCs/>
              <w:noProof/>
            </w:rPr>
          </w:pPr>
        </w:p>
        <w:p w14:paraId="2A69CA67" w14:textId="094CA395" w:rsidR="00E50DF3" w:rsidRPr="004B3BA0" w:rsidRDefault="003174A1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r>
            <w:fldChar w:fldCharType="begin"/>
          </w:r>
          <w:r>
            <w:instrText xml:space="preserve"> TOC \h \z \c "Figure" </w:instrText>
          </w:r>
          <w:r>
            <w:fldChar w:fldCharType="separate"/>
          </w:r>
          <w:hyperlink w:anchor="_Toc512950733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1: FHA Multifamily Apartments Insurance-in-Force and Count,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_Toc512950733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4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37869A2D" w14:textId="25E3CF15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4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2: FHA Multifamily Apartments Endorsement UPB and Count for All Risk Categories for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_Toc512950734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7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41D57223" w14:textId="2BA20F02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5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3: FHA Multifamily Apartments Endorsement Amount by Risk Category for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_Toc512950735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7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34886EA0" w14:textId="76C4F08C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6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4: FHA Multifamily Apartments Default UPB and Count for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_Toc512950736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9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7108B5A8" w14:textId="389C4080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7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5: FHA Residential Care Facilities Insurance-in-Force and Count,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_Toc512950737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11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762DDD72" w14:textId="45597D96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8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6: FHA Residential Care Facilities Default UPB and Count for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_Toc512950738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14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58956283" w14:textId="7E746638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cs="Arial"/>
              <w:noProof/>
              <w:sz w:val="20"/>
            </w:rPr>
          </w:pPr>
          <w:hyperlink w:anchor="_Toc512950739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7: FHA Hospital Facilities Insurance-in-Force and Count,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_Toc512950739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16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75F11E6B" w14:textId="6F1B5181" w:rsidR="00E50DF3" w:rsidRPr="004B3BA0" w:rsidRDefault="004F0924" w:rsidP="002E3776">
          <w:pPr>
            <w:pStyle w:val="TableofFigures"/>
            <w:tabs>
              <w:tab w:val="right" w:leader="dot" w:pos="10790"/>
            </w:tabs>
            <w:spacing w:after="100"/>
            <w:rPr>
              <w:rFonts w:asciiTheme="minorHAnsi" w:hAnsiTheme="minorHAnsi" w:cstheme="minorBidi"/>
              <w:noProof/>
              <w:sz w:val="20"/>
            </w:rPr>
          </w:pPr>
          <w:hyperlink w:anchor="_Toc512950740" w:history="1">
            <w:r w:rsidR="00E50DF3" w:rsidRPr="004B3BA0">
              <w:rPr>
                <w:rStyle w:val="Hyperlink"/>
                <w:rFonts w:cs="Arial"/>
                <w:noProof/>
                <w:sz w:val="20"/>
              </w:rPr>
              <w:t>Figure 8: FHA Hospital Facilities Default UPB and Count for Last 2 Years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tab/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begin"/>
            </w:r>
            <w:r w:rsidR="00E50DF3" w:rsidRPr="004B3BA0">
              <w:rPr>
                <w:rFonts w:cs="Arial"/>
                <w:noProof/>
                <w:webHidden/>
                <w:sz w:val="20"/>
              </w:rPr>
              <w:instrText xml:space="preserve"> PAGEREF _Toc512950740 \h </w:instrText>
            </w:r>
            <w:r w:rsidR="00E50DF3" w:rsidRPr="004B3BA0">
              <w:rPr>
                <w:rFonts w:cs="Arial"/>
                <w:noProof/>
                <w:webHidden/>
                <w:sz w:val="20"/>
              </w:rPr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separate"/>
            </w:r>
            <w:r w:rsidR="00E3436F">
              <w:rPr>
                <w:rFonts w:cs="Arial"/>
                <w:noProof/>
                <w:webHidden/>
                <w:sz w:val="20"/>
              </w:rPr>
              <w:t>19</w:t>
            </w:r>
            <w:r w:rsidR="00E50DF3" w:rsidRPr="004B3BA0">
              <w:rPr>
                <w:rFonts w:cs="Arial"/>
                <w:noProof/>
                <w:webHidden/>
                <w:sz w:val="20"/>
              </w:rPr>
              <w:fldChar w:fldCharType="end"/>
            </w:r>
          </w:hyperlink>
        </w:p>
        <w:p w14:paraId="31DA60BC" w14:textId="3D7C0BED" w:rsidR="005A510E" w:rsidRDefault="003174A1" w:rsidP="00345B83">
          <w:pPr>
            <w:spacing w:after="100"/>
          </w:pPr>
          <w:r>
            <w:fldChar w:fldCharType="end"/>
          </w:r>
        </w:p>
      </w:sdtContent>
    </w:sdt>
    <w:p w14:paraId="21BDDBF3" w14:textId="6C5FF927" w:rsidR="00507A2C" w:rsidRPr="005E3049" w:rsidRDefault="001667C5" w:rsidP="005E3049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7" w:rightFromText="187" w:vertAnchor="page" w:tblpXSpec="center" w:tblpY="1657"/>
        <w:tblOverlap w:val="never"/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456"/>
        <w:gridCol w:w="2304"/>
        <w:gridCol w:w="2304"/>
      </w:tblGrid>
      <w:tr w:rsidR="005E3049" w:rsidRPr="005A2B31" w14:paraId="548AD439" w14:textId="77777777" w:rsidTr="006142C2">
        <w:trPr>
          <w:cantSplit/>
          <w:trHeight w:val="432"/>
          <w:tblHeader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BABAFFB" w14:textId="77777777" w:rsidR="005E3049" w:rsidRPr="00F32BD2" w:rsidRDefault="005E3049" w:rsidP="006142C2">
            <w:pPr>
              <w:pStyle w:val="Heading1"/>
            </w:pPr>
            <w:bookmarkStart w:id="0" w:name="_Toc512950700"/>
            <w:r w:rsidRPr="00F32BD2">
              <w:lastRenderedPageBreak/>
              <w:t>Table 1. FHA Multifamily Apartments Insured Portfolio, Transitions within Portfolio</w:t>
            </w:r>
            <w:bookmarkEnd w:id="0"/>
          </w:p>
        </w:tc>
      </w:tr>
      <w:tr w:rsidR="005E3049" w:rsidRPr="005A2B31" w14:paraId="5386BC87" w14:textId="77777777" w:rsidTr="006142C2">
        <w:trPr>
          <w:cantSplit/>
          <w:trHeight w:val="432"/>
        </w:trPr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CFC76B5" w14:textId="77777777" w:rsidR="005E3049" w:rsidRPr="005A2B31" w:rsidRDefault="005E3049" w:rsidP="006142C2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 w:rsidRPr="005A2B31">
              <w:rPr>
                <w:rFonts w:cs="Arial"/>
                <w:b/>
                <w:bCs/>
                <w:color w:val="000000"/>
                <w:szCs w:val="18"/>
              </w:rPr>
              <w:t>Insured Portfolio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C62DC17" w14:textId="77777777" w:rsidR="005E3049" w:rsidRPr="005A2B31" w:rsidRDefault="005E3049" w:rsidP="006142C2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7A22C34" w14:textId="77777777" w:rsidR="005E3049" w:rsidRPr="005A2B31" w:rsidRDefault="005E3049" w:rsidP="006142C2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Loan Balance ($ millions)</w:t>
            </w:r>
          </w:p>
        </w:tc>
      </w:tr>
      <w:tr w:rsidR="004F0924" w:rsidRPr="005A2B31" w14:paraId="13E0E244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2FB679F" w14:textId="77777777" w:rsidR="004F0924" w:rsidRPr="005A2B31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 xml:space="preserve">Insurance </w:t>
            </w:r>
            <w:r>
              <w:rPr>
                <w:rFonts w:cs="Arial"/>
                <w:color w:val="000000"/>
                <w:szCs w:val="18"/>
              </w:rPr>
              <w:t>i</w:t>
            </w:r>
            <w:r w:rsidRPr="005A2B31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5A2B31">
              <w:rPr>
                <w:rFonts w:cs="Arial"/>
                <w:color w:val="000000"/>
                <w:szCs w:val="18"/>
              </w:rPr>
              <w:t>Force (Beginning)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1C34423" w14:textId="0C6E898F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11,304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B19B27B" w14:textId="1D0FACFF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110,239.9</w:t>
            </w:r>
          </w:p>
        </w:tc>
      </w:tr>
      <w:tr w:rsidR="004F0924" w:rsidRPr="005A2B31" w14:paraId="61F7A906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5550C6B" w14:textId="77777777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Terminations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ACA23D0" w14:textId="433CF0B5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(154)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7CCAC37" w14:textId="3E430DE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(1,622.3)</w:t>
            </w:r>
          </w:p>
        </w:tc>
      </w:tr>
      <w:tr w:rsidR="004F0924" w:rsidRPr="005A2B31" w14:paraId="1EFB9092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51C2C5C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Claims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4DEB5D0" w14:textId="4194F26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EF1D815" w14:textId="4C64AE53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36C494B0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3E5FD18" w14:textId="56C05D25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Regular Claim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92B4335" w14:textId="5678BC69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BBE18A7" w14:textId="7DB4D8F1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1F663704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E88EB7F" w14:textId="6C072C76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Mark to Market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5BF2C85" w14:textId="2257FAC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21BCBCD" w14:textId="58E3AE7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290C967F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F594921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Partial Payment Claim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F574511" w14:textId="345DB842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2015AFE" w14:textId="697CDE00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0F7054B4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2F63FE8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Maturity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BFE82D9" w14:textId="7EEC6B05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DEE70F6" w14:textId="00E657A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(0.1)</w:t>
            </w:r>
          </w:p>
        </w:tc>
      </w:tr>
      <w:tr w:rsidR="004F0924" w:rsidRPr="005A2B31" w14:paraId="088F17D4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36E2DDE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Prepayment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4E28B7F" w14:textId="58C423B9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(94)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20E458D" w14:textId="1C4AA65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(787.1)</w:t>
            </w:r>
          </w:p>
        </w:tc>
      </w:tr>
      <w:tr w:rsidR="004F0924" w:rsidRPr="005A2B31" w14:paraId="45A16C6F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491DF2D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Refinanced with FHA Loans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B2BC646" w14:textId="148AEFB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(58)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96227E5" w14:textId="17B8BF1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(835.1)</w:t>
            </w:r>
          </w:p>
        </w:tc>
      </w:tr>
      <w:tr w:rsidR="004F0924" w:rsidRPr="005A2B31" w14:paraId="2C1CEEF7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CC9BC0F" w14:textId="77777777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New Endorsements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2406E34" w14:textId="79718D4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CD0AA2A" w14:textId="76A10AC9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2,412.6</w:t>
            </w:r>
          </w:p>
        </w:tc>
      </w:tr>
      <w:tr w:rsidR="004F0924" w:rsidRPr="005A2B31" w14:paraId="44861EAB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D084E2C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New Business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2ABE305" w14:textId="5E21258E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7312C87" w14:textId="04B73AA4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478.8</w:t>
            </w:r>
          </w:p>
        </w:tc>
      </w:tr>
      <w:tr w:rsidR="004F0924" w:rsidRPr="005A2B31" w14:paraId="036DD11B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85367FA" w14:textId="77777777" w:rsidR="004F0924" w:rsidRPr="007F70B7" w:rsidRDefault="004F0924" w:rsidP="004F0924">
            <w:pPr>
              <w:autoSpaceDE/>
              <w:autoSpaceDN/>
              <w:adjustRightInd w:val="0"/>
              <w:ind w:firstLine="432"/>
              <w:rPr>
                <w:rFonts w:cs="Arial"/>
                <w:color w:val="000000"/>
                <w:szCs w:val="18"/>
                <w:vertAlign w:val="superscript"/>
              </w:rPr>
            </w:pPr>
            <w:r w:rsidRPr="007F70B7">
              <w:rPr>
                <w:rFonts w:cs="Arial"/>
                <w:color w:val="000000"/>
                <w:szCs w:val="18"/>
              </w:rPr>
              <w:t>221(d)(3)</w:t>
            </w:r>
            <w:r w:rsidRPr="007F70B7">
              <w:rPr>
                <w:rFonts w:cs="Arial"/>
                <w:color w:val="000000"/>
                <w:szCs w:val="18"/>
                <w:vertAlign w:val="superscript"/>
              </w:rPr>
              <w:t>a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2C8C433" w14:textId="40E91337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B1BC553" w14:textId="47CB4C8B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63F13D5B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6FBA505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  <w:vertAlign w:val="superscript"/>
              </w:rPr>
            </w:pPr>
            <w:r w:rsidRPr="005A2B31">
              <w:rPr>
                <w:rFonts w:cs="Arial"/>
                <w:color w:val="000000"/>
                <w:szCs w:val="18"/>
              </w:rPr>
              <w:t>221(d)(4)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b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EF66ABD" w14:textId="1E5508E5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E6997CB" w14:textId="05085319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354.7</w:t>
            </w:r>
          </w:p>
        </w:tc>
      </w:tr>
      <w:tr w:rsidR="004F0924" w:rsidRPr="005A2B31" w14:paraId="1E9BA122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8CBBA94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223(a)(7)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AC19688" w14:textId="69199AA0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FB8C648" w14:textId="42F7EC2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1AAA59A0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3815B42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e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496DEE0" w14:textId="6473AA9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AF1006E" w14:textId="4EB6ACAE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23.0</w:t>
            </w:r>
          </w:p>
        </w:tc>
      </w:tr>
      <w:tr w:rsidR="004F0924" w:rsidRPr="005A2B31" w14:paraId="1814BDE2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43D048D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 xml:space="preserve">542(b) New </w:t>
            </w:r>
            <w:proofErr w:type="spellStart"/>
            <w:r w:rsidRPr="005A2B31">
              <w:rPr>
                <w:rFonts w:cs="Arial"/>
                <w:color w:val="000000"/>
                <w:szCs w:val="18"/>
              </w:rPr>
              <w:t>Construction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3E45C42" w14:textId="3E56C30F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AB40AF1" w14:textId="28CACACB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6D567A09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EC54404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 xml:space="preserve">542(c) New </w:t>
            </w:r>
            <w:proofErr w:type="spellStart"/>
            <w:r w:rsidRPr="005A2B31">
              <w:rPr>
                <w:rFonts w:cs="Arial"/>
                <w:color w:val="000000"/>
                <w:szCs w:val="18"/>
              </w:rPr>
              <w:t>Construction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g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0CF4125" w14:textId="557A9074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A02ED4D" w14:textId="7ECAE7B3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101.0</w:t>
            </w:r>
          </w:p>
        </w:tc>
      </w:tr>
      <w:tr w:rsidR="004F0924" w:rsidRPr="005A2B31" w14:paraId="2B2F2DC0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994AE05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223(d)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h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7E4CE4E" w14:textId="16717B52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FCB7408" w14:textId="57CEF9C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34B64CDF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BFAE63B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 xml:space="preserve">Other </w:t>
            </w:r>
            <w:proofErr w:type="spellStart"/>
            <w:r w:rsidRPr="005A2B31">
              <w:rPr>
                <w:rFonts w:cs="Arial"/>
                <w:color w:val="000000"/>
                <w:szCs w:val="18"/>
              </w:rPr>
              <w:t>Rental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35F4A36" w14:textId="5312624F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9AEDF39" w14:textId="0AC5567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2CBCACA2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0AFE592" w14:textId="77777777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Refinance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706F4B9" w14:textId="699F8B37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0E71927" w14:textId="018CF7A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1,933.7</w:t>
            </w:r>
          </w:p>
        </w:tc>
      </w:tr>
      <w:tr w:rsidR="004F0924" w:rsidRPr="005A2B31" w14:paraId="0E9C7373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D3796EB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223(a)(7)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8A5ADEE" w14:textId="3E05B740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70E6744" w14:textId="3CAFF7D1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440.6</w:t>
            </w:r>
          </w:p>
        </w:tc>
      </w:tr>
      <w:tr w:rsidR="004F0924" w:rsidRPr="005A2B31" w14:paraId="46A3A3D9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305AACB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223(f)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B75E113" w14:textId="60BFC303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44859A3" w14:textId="7146D6F0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1,493.2</w:t>
            </w:r>
          </w:p>
        </w:tc>
      </w:tr>
      <w:tr w:rsidR="004F0924" w:rsidRPr="005A2B31" w14:paraId="29C7D681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ED18950" w14:textId="77777777" w:rsidR="004F0924" w:rsidRPr="005A2B31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 w:rsidRPr="005A2B31">
              <w:rPr>
                <w:rFonts w:cs="Arial"/>
                <w:color w:val="000000"/>
                <w:szCs w:val="18"/>
                <w:vertAlign w:val="superscript"/>
              </w:rPr>
              <w:t>e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78D6E7F" w14:textId="24B32B87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7D4CCF7" w14:textId="0A7463D7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3F39F413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27CE43C" w14:textId="77777777" w:rsidR="004F0924" w:rsidRPr="007F70B7" w:rsidRDefault="004F0924" w:rsidP="004F0924">
            <w:pPr>
              <w:autoSpaceDE/>
              <w:autoSpaceDN/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7F70B7">
              <w:rPr>
                <w:rFonts w:cs="Arial"/>
                <w:color w:val="000000"/>
                <w:szCs w:val="18"/>
              </w:rPr>
              <w:t xml:space="preserve">542(b) </w:t>
            </w:r>
            <w:proofErr w:type="spellStart"/>
            <w:r w:rsidRPr="007F70B7">
              <w:rPr>
                <w:rFonts w:cs="Arial"/>
                <w:color w:val="000000"/>
                <w:szCs w:val="18"/>
              </w:rPr>
              <w:t>Refinance</w:t>
            </w:r>
            <w:r w:rsidRPr="007F70B7">
              <w:rPr>
                <w:rFonts w:cs="Arial"/>
                <w:color w:val="000000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C4CB5AD" w14:textId="23E0AA89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5E28CA1" w14:textId="49050FAE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1FB612C5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D5552D9" w14:textId="77777777" w:rsidR="004F0924" w:rsidRPr="00B04750" w:rsidRDefault="004F0924" w:rsidP="004F0924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B04750">
              <w:rPr>
                <w:rFonts w:cs="Arial"/>
                <w:color w:val="000000"/>
                <w:szCs w:val="18"/>
              </w:rPr>
              <w:t xml:space="preserve">542(c) </w:t>
            </w:r>
            <w:proofErr w:type="spellStart"/>
            <w:r w:rsidRPr="00B04750">
              <w:rPr>
                <w:rFonts w:cs="Arial"/>
                <w:color w:val="000000"/>
                <w:szCs w:val="18"/>
              </w:rPr>
              <w:t>Refinance</w:t>
            </w:r>
            <w:r>
              <w:rPr>
                <w:rFonts w:cs="Arial"/>
                <w:color w:val="000000"/>
                <w:szCs w:val="18"/>
                <w:vertAlign w:val="superscript"/>
              </w:rPr>
              <w:t>g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D580F6C" w14:textId="02E2539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6546BBC" w14:textId="77C3FE37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7585CD10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6FAD2A1" w14:textId="77777777" w:rsidR="004F0924" w:rsidRPr="007F70B7" w:rsidRDefault="004F0924" w:rsidP="004F0924">
            <w:pPr>
              <w:autoSpaceDE/>
              <w:autoSpaceDN/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7F70B7">
              <w:rPr>
                <w:rFonts w:cs="Arial"/>
                <w:color w:val="000000"/>
                <w:szCs w:val="18"/>
              </w:rPr>
              <w:t>223(d)</w:t>
            </w:r>
            <w:r w:rsidRPr="007F70B7">
              <w:rPr>
                <w:rFonts w:cs="Arial"/>
                <w:color w:val="000000"/>
                <w:szCs w:val="18"/>
                <w:vertAlign w:val="superscript"/>
              </w:rPr>
              <w:t>h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F6F33C4" w14:textId="525FDF2C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821D8C4" w14:textId="2D190FBA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4F0924" w:rsidRPr="005A2B31" w14:paraId="3A8FE9AF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918D44D" w14:textId="77777777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895609F" w14:textId="1BBF051B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5A874A6" w14:textId="7AF606DD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(156.2)</w:t>
            </w:r>
          </w:p>
        </w:tc>
      </w:tr>
      <w:tr w:rsidR="004F0924" w:rsidRPr="005A2B31" w14:paraId="1E0B1CBC" w14:textId="77777777" w:rsidTr="004F0924">
        <w:trPr>
          <w:cantSplit/>
          <w:trHeight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E04AF33" w14:textId="77777777" w:rsidR="004F0924" w:rsidRPr="005A2B31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5A2B31">
              <w:rPr>
                <w:rFonts w:cs="Arial"/>
                <w:color w:val="000000"/>
                <w:szCs w:val="18"/>
              </w:rPr>
              <w:t xml:space="preserve">Insurance </w:t>
            </w:r>
            <w:r>
              <w:rPr>
                <w:rFonts w:cs="Arial"/>
                <w:color w:val="000000"/>
                <w:szCs w:val="18"/>
              </w:rPr>
              <w:t>i</w:t>
            </w:r>
            <w:r w:rsidRPr="005A2B31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r w:rsidRPr="005A2B31">
              <w:rPr>
                <w:rFonts w:cs="Arial"/>
                <w:color w:val="000000"/>
                <w:szCs w:val="18"/>
              </w:rPr>
              <w:t>Force (Ending)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4C1FC16" w14:textId="7AF008F3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11,271</w:t>
            </w:r>
          </w:p>
        </w:tc>
        <w:tc>
          <w:tcPr>
            <w:tcW w:w="230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0F0B98D" w14:textId="057DB266" w:rsidR="004F0924" w:rsidRPr="004C4204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110,874.1</w:t>
            </w:r>
          </w:p>
        </w:tc>
      </w:tr>
      <w:tr w:rsidR="00AF13BC" w:rsidRPr="005A2B31" w14:paraId="03B3EE90" w14:textId="77777777" w:rsidTr="00AF13BC">
        <w:trPr>
          <w:cantSplit/>
          <w:trHeight w:val="432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B5A08DA" w14:textId="39C0D782" w:rsidR="00AF13BC" w:rsidRPr="005A2B31" w:rsidRDefault="00AF13BC" w:rsidP="00AF13BC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Defaults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81261A5" w14:textId="77777777" w:rsidR="00AF13BC" w:rsidRPr="004C4204" w:rsidRDefault="00AF13BC" w:rsidP="00AF13BC">
            <w:pPr>
              <w:jc w:val="right"/>
              <w:rPr>
                <w:rFonts w:cs="Arial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438D79A" w14:textId="57C4E447" w:rsidR="00AF13BC" w:rsidRPr="004C4204" w:rsidRDefault="00AF13BC" w:rsidP="00AF13B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.</w:t>
            </w:r>
          </w:p>
        </w:tc>
      </w:tr>
      <w:tr w:rsidR="004F0924" w:rsidRPr="005A2B31" w14:paraId="5B91E6A5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8D3C5F5" w14:textId="634AE571" w:rsidR="004F0924" w:rsidRPr="005A2B31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60+ Day Defaults (Beginning)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F5E11F5" w14:textId="19F07235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6E3C88F" w14:textId="768E7894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642.1</w:t>
            </w:r>
          </w:p>
        </w:tc>
      </w:tr>
      <w:tr w:rsidR="004F0924" w:rsidRPr="005A2B31" w14:paraId="3F8CB598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74A39D6" w14:textId="250465AD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 Longer in Default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5997DD1" w14:textId="7BCB1075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(7)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C7C81CF" w14:textId="0BB47DCF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(118.6)</w:t>
            </w:r>
          </w:p>
        </w:tc>
      </w:tr>
      <w:tr w:rsidR="004F0924" w:rsidRPr="005A2B31" w14:paraId="5E197F20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41F686E" w14:textId="4F52BDEB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Reinstated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3F60022" w14:textId="2EA7B55F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F6FC65B" w14:textId="727B77CB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(20.1)</w:t>
            </w:r>
          </w:p>
        </w:tc>
      </w:tr>
      <w:tr w:rsidR="004F0924" w:rsidRPr="005A2B31" w14:paraId="0A7A441B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132EE850" w14:textId="6704D98C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Default to Delinquent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992F7F1" w14:textId="3C152783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(1)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63E98D6" w14:textId="29A15202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(68.7)</w:t>
            </w:r>
          </w:p>
        </w:tc>
      </w:tr>
      <w:tr w:rsidR="004F0924" w:rsidRPr="005A2B31" w14:paraId="44296C7D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F9364AD" w14:textId="56E277DC" w:rsidR="004F0924" w:rsidRPr="005A2B31" w:rsidRDefault="004F0924" w:rsidP="004F0924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Terminated Defaults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248A0269" w14:textId="574B38AB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D8B4D82" w14:textId="0B7C9A08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(29.8)</w:t>
            </w:r>
          </w:p>
        </w:tc>
      </w:tr>
      <w:tr w:rsidR="004F0924" w:rsidRPr="005A2B31" w14:paraId="4A2B7163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433BF58" w14:textId="4AC28BEA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Continuing Defaults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04054D4" w14:textId="6651CA9A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4F033C41" w14:textId="3CF30A58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523.4</w:t>
            </w:r>
          </w:p>
        </w:tc>
      </w:tr>
      <w:tr w:rsidR="004F0924" w:rsidRPr="005A2B31" w14:paraId="7C2386E7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FA9D2C1" w14:textId="7E4D3AF5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New 60+ Day Defaults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107369E" w14:textId="0FCFFA03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CC712A7" w14:textId="60DD4827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65.8</w:t>
            </w:r>
          </w:p>
        </w:tc>
      </w:tr>
      <w:tr w:rsidR="004F0924" w:rsidRPr="005A2B31" w14:paraId="3F5953D9" w14:textId="77777777" w:rsidTr="004F0924">
        <w:trPr>
          <w:cantSplit/>
          <w:trHeight w:hRule="exact" w:val="288"/>
        </w:trPr>
        <w:tc>
          <w:tcPr>
            <w:tcW w:w="345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79FB3E08" w14:textId="6BD396D6" w:rsidR="004F0924" w:rsidRPr="005A2B31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3687AB53" w14:textId="5E70AAA2" w:rsidR="004F0924" w:rsidRPr="004C4204" w:rsidRDefault="004F0924" w:rsidP="004F0924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0DC450B8" w14:textId="27ED88D9" w:rsidR="004F0924" w:rsidRPr="004C4204" w:rsidRDefault="004F0924" w:rsidP="004F0924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(0.5)</w:t>
            </w:r>
          </w:p>
        </w:tc>
      </w:tr>
      <w:tr w:rsidR="004F0924" w:rsidRPr="005A2B31" w14:paraId="12830278" w14:textId="77777777" w:rsidTr="004F0924">
        <w:trPr>
          <w:cantSplit/>
          <w:trHeight w:hRule="exact" w:val="288"/>
        </w:trPr>
        <w:tc>
          <w:tcPr>
            <w:tcW w:w="345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0F27DBA" w14:textId="384CA823" w:rsidR="004F0924" w:rsidRPr="005A2B31" w:rsidRDefault="004F0924" w:rsidP="004F0924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60+ Day Defaults (Ending)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51CE36DD" w14:textId="64809189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14:paraId="6F1BA482" w14:textId="7032EB1D" w:rsidR="004F0924" w:rsidRPr="004C4204" w:rsidRDefault="004F0924" w:rsidP="004F0924">
            <w:pPr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588.7</w:t>
            </w:r>
          </w:p>
        </w:tc>
      </w:tr>
      <w:tr w:rsidR="007A72DB" w:rsidRPr="005A2B31" w14:paraId="75B56E46" w14:textId="77777777" w:rsidTr="006142C2">
        <w:trPr>
          <w:cantSplit/>
          <w:trHeight w:val="2880"/>
        </w:trPr>
        <w:tc>
          <w:tcPr>
            <w:tcW w:w="8064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027728" w14:textId="77777777" w:rsidR="007A72DB" w:rsidRDefault="007A72DB" w:rsidP="007A72DB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5A2B31">
              <w:rPr>
                <w:rFonts w:cs="Arial"/>
                <w:color w:val="000000"/>
                <w:sz w:val="16"/>
                <w:szCs w:val="16"/>
              </w:rPr>
              <w:lastRenderedPageBreak/>
              <w:t>na</w:t>
            </w:r>
            <w:proofErr w:type="spellEnd"/>
            <w:r w:rsidRPr="005A2B31">
              <w:rPr>
                <w:rFonts w:cs="Arial"/>
                <w:color w:val="000000"/>
                <w:sz w:val="16"/>
                <w:szCs w:val="16"/>
              </w:rPr>
              <w:t xml:space="preserve"> = not applicable.</w:t>
            </w:r>
          </w:p>
          <w:p w14:paraId="44A210E6" w14:textId="25ECDB8B" w:rsidR="007A72DB" w:rsidRPr="002F57BD" w:rsidRDefault="007A72DB" w:rsidP="007A72D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NOTE</w:t>
            </w:r>
            <w:r w:rsidR="004365BF">
              <w:rPr>
                <w:rFonts w:cs="Arial"/>
                <w:sz w:val="16"/>
                <w:szCs w:val="16"/>
              </w:rPr>
              <w:t xml:space="preserve"> 1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4F0924" w:rsidRPr="004F0924">
              <w:rPr>
                <w:rFonts w:cs="Arial"/>
                <w:sz w:val="16"/>
                <w:szCs w:val="16"/>
              </w:rPr>
              <w:t>Data are for June 2, 2021 – July 2, 2021.</w:t>
            </w:r>
          </w:p>
          <w:p w14:paraId="38A365D8" w14:textId="30ED2BC7" w:rsidR="004365BF" w:rsidRPr="00A07258" w:rsidRDefault="004365BF" w:rsidP="007A72DB">
            <w:pPr>
              <w:rPr>
                <w:rFonts w:cs="Arial"/>
                <w:sz w:val="16"/>
                <w:szCs w:val="16"/>
              </w:rPr>
            </w:pPr>
            <w:r w:rsidRPr="002F57BD">
              <w:rPr>
                <w:rFonts w:cs="Arial"/>
                <w:sz w:val="16"/>
                <w:szCs w:val="16"/>
              </w:rPr>
              <w:t xml:space="preserve">NOTE 2: The previously reported MF default </w:t>
            </w:r>
            <w:r w:rsidR="00120A89" w:rsidRPr="002F57BD">
              <w:rPr>
                <w:rFonts w:cs="Arial"/>
                <w:sz w:val="16"/>
                <w:szCs w:val="16"/>
              </w:rPr>
              <w:t>data</w:t>
            </w:r>
            <w:r w:rsidRPr="002F57BD">
              <w:rPr>
                <w:rFonts w:cs="Arial"/>
                <w:sz w:val="16"/>
                <w:szCs w:val="16"/>
              </w:rPr>
              <w:t xml:space="preserve"> may have</w:t>
            </w:r>
            <w:r w:rsidRPr="004365BF">
              <w:rPr>
                <w:rFonts w:cs="Arial"/>
                <w:sz w:val="16"/>
                <w:szCs w:val="16"/>
              </w:rPr>
              <w:t xml:space="preserve"> changed because we now </w:t>
            </w:r>
            <w:r w:rsidR="001A3442">
              <w:rPr>
                <w:rFonts w:cs="Arial"/>
                <w:sz w:val="16"/>
                <w:szCs w:val="16"/>
              </w:rPr>
              <w:t>consider</w:t>
            </w:r>
            <w:r w:rsidRPr="004365BF">
              <w:rPr>
                <w:rFonts w:cs="Arial"/>
                <w:sz w:val="16"/>
                <w:szCs w:val="16"/>
              </w:rPr>
              <w:t xml:space="preserve"> the </w:t>
            </w:r>
            <w:r w:rsidR="008A366D">
              <w:rPr>
                <w:rFonts w:cs="Arial"/>
                <w:sz w:val="16"/>
                <w:szCs w:val="16"/>
              </w:rPr>
              <w:t xml:space="preserve">CARES Act </w:t>
            </w:r>
            <w:r w:rsidRPr="004365BF">
              <w:rPr>
                <w:rFonts w:cs="Arial"/>
                <w:sz w:val="16"/>
                <w:szCs w:val="16"/>
              </w:rPr>
              <w:t>forbearance exit date.</w:t>
            </w:r>
          </w:p>
          <w:p w14:paraId="186F1974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  <w:vertAlign w:val="superscript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Section 221(d)(3): Insures mortgage loans in order to facilitate the new construction or rehabilitation of multi-family rental, cooperative housing, or single-room occupancy facilities (SROs) for moderate-income households, the elderly, and people with disabilities for up to 100 percent of replacement costs for public, nonprofit, and cooperative mortgagors.</w:t>
            </w:r>
          </w:p>
          <w:p w14:paraId="79303F12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b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Section 221(d)(4): Insures mortgage loans in order to facilitate the new construction or rehabilitation of multi-family rental, cooperative housing, or single-room occupancy facilities (SROs) for moderate-income households, the elderly, and people with disabilities for up to 90 percent of replacement costs irrespective of the type of mortgagor.</w:t>
            </w:r>
          </w:p>
          <w:p w14:paraId="4AF07DC4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c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Section 223(a)(7): Permits refinancing of an existing loan to reduce interest rate and/or extend amortization period in order to reduce risk of default.</w:t>
            </w:r>
          </w:p>
          <w:p w14:paraId="07159529" w14:textId="77777777" w:rsidR="007A72DB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d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 xml:space="preserve">Section 223(f): Insures mortgage loans to facilitate the purchase or refinancing of existing multifamily rental housing. </w:t>
            </w:r>
          </w:p>
          <w:p w14:paraId="6207E7E9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  <w:vertAlign w:val="superscript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e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Section 241: Insures mortgage loans to finance repairs, additions, and improvements to multifamily rental housing with FHA-insured first mortgages or HUD-held mortgages.</w:t>
            </w:r>
          </w:p>
          <w:p w14:paraId="6458C151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f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 xml:space="preserve">Section 542(b): Authorizes HUD to enter into reinsurance agreements with Fannie Mae, Freddie Mac, qualified financial institutions (QFIs), and the Federal Housing Finance Board. </w:t>
            </w:r>
          </w:p>
          <w:p w14:paraId="3BFD1AF1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g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 xml:space="preserve">Section 542(c): Enables HUD to carry out a program in conjunction with qualified state and local housing finance agencies (HFAs) to provide federal credit enhancement for loans for affordable multifamily housing through a system of risk-sharing agreements. </w:t>
            </w:r>
          </w:p>
          <w:p w14:paraId="77FF5335" w14:textId="77777777" w:rsidR="007A72DB" w:rsidRPr="005A2B31" w:rsidRDefault="007A72DB" w:rsidP="007A72D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h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Section 223(d): Insures two-year operating loss loans that cover operating losses during the first 2 years after completion (or any other 2-year period within the first 10 years after completion) of multifamily projects with a HUD-insured first mortgage.</w:t>
            </w:r>
          </w:p>
          <w:p w14:paraId="325EB0E7" w14:textId="6D178B42" w:rsidR="007A72DB" w:rsidRPr="005A2B31" w:rsidRDefault="007A72DB" w:rsidP="0079597D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>i</w:t>
            </w:r>
            <w:proofErr w:type="spellEnd"/>
            <w:r w:rsidRPr="005A2B31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t>Other Rental: Mortgage loan insurance for Mobile Home Courts (Section 207), Management Cooperative (Section 213), Consumer Cooperative (Section 213(</w:t>
            </w:r>
            <w:proofErr w:type="spellStart"/>
            <w:r w:rsidRPr="005A2B31">
              <w:rPr>
                <w:rFonts w:cs="Arial"/>
                <w:color w:val="000000"/>
                <w:sz w:val="16"/>
                <w:szCs w:val="16"/>
              </w:rPr>
              <w:t>i</w:t>
            </w:r>
            <w:proofErr w:type="spellEnd"/>
            <w:r w:rsidRPr="005A2B31">
              <w:rPr>
                <w:rFonts w:cs="Arial"/>
                <w:color w:val="000000"/>
                <w:sz w:val="16"/>
                <w:szCs w:val="16"/>
              </w:rPr>
              <w:t>)), Urban Renewal Housing (Section 220), and Elderly Housing (Section 231).</w:t>
            </w:r>
            <w:r w:rsidRPr="005A2B31">
              <w:rPr>
                <w:rFonts w:cs="Arial"/>
                <w:color w:val="000000"/>
                <w:sz w:val="16"/>
                <w:szCs w:val="16"/>
              </w:rPr>
              <w:br/>
            </w:r>
            <w:r w:rsidR="004F0924"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20886B3F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767211B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4AE0B33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2E003A0F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3CC24220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9430C8F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2B215A96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3A1EF3F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4A64F3C7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0A90CA60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0452385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1562C9D2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3C133844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02E6AF1A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0D001B16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3E763BA3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7847FE8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7DBA594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98BFFB6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B198551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556B906A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2208B196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3B11C0C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09554E3A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45E5D4D8" w14:textId="77777777" w:rsidR="00452EF7" w:rsidRDefault="00452EF7" w:rsidP="00CC67FB">
      <w:pPr>
        <w:adjustRightInd w:val="0"/>
        <w:jc w:val="center"/>
        <w:rPr>
          <w:rFonts w:cs="Arial"/>
          <w:b/>
        </w:rPr>
      </w:pPr>
      <w:bookmarkStart w:id="1" w:name="_Toc512950733"/>
    </w:p>
    <w:p w14:paraId="6D1AE55E" w14:textId="77777777" w:rsidR="00452EF7" w:rsidRDefault="00452EF7" w:rsidP="00CC67FB">
      <w:pPr>
        <w:adjustRightInd w:val="0"/>
        <w:jc w:val="center"/>
        <w:rPr>
          <w:rFonts w:cs="Arial"/>
          <w:b/>
        </w:rPr>
      </w:pPr>
    </w:p>
    <w:p w14:paraId="56AC78BD" w14:textId="77777777" w:rsidR="00452EF7" w:rsidRDefault="00452EF7" w:rsidP="00CC67FB">
      <w:pPr>
        <w:adjustRightInd w:val="0"/>
        <w:jc w:val="center"/>
        <w:rPr>
          <w:rFonts w:cs="Arial"/>
          <w:b/>
        </w:rPr>
      </w:pPr>
    </w:p>
    <w:p w14:paraId="67893B5E" w14:textId="77777777" w:rsidR="004365BF" w:rsidRDefault="004365BF" w:rsidP="00CC67FB">
      <w:pPr>
        <w:adjustRightInd w:val="0"/>
        <w:jc w:val="center"/>
        <w:rPr>
          <w:rFonts w:cs="Arial"/>
          <w:b/>
          <w:sz w:val="20"/>
        </w:rPr>
      </w:pPr>
    </w:p>
    <w:p w14:paraId="5D6863D5" w14:textId="44EC1832" w:rsidR="00CC67FB" w:rsidRPr="00E20053" w:rsidRDefault="00CC67FB" w:rsidP="00CC67FB">
      <w:pPr>
        <w:adjustRightInd w:val="0"/>
        <w:jc w:val="center"/>
        <w:rPr>
          <w:rFonts w:cs="Arial"/>
          <w:b/>
          <w:sz w:val="20"/>
        </w:rPr>
      </w:pPr>
      <w:r w:rsidRPr="00E20053">
        <w:rPr>
          <w:rFonts w:cs="Arial"/>
          <w:b/>
          <w:sz w:val="20"/>
        </w:rPr>
        <w:t xml:space="preserve">Figure </w:t>
      </w:r>
      <w:r w:rsidRPr="00E20053">
        <w:rPr>
          <w:rFonts w:cs="Arial"/>
          <w:b/>
          <w:sz w:val="20"/>
        </w:rPr>
        <w:fldChar w:fldCharType="begin"/>
      </w:r>
      <w:r w:rsidRPr="00E20053">
        <w:rPr>
          <w:rFonts w:cs="Arial"/>
          <w:b/>
          <w:sz w:val="20"/>
        </w:rPr>
        <w:instrText xml:space="preserve"> SEQ Figure \* ARABIC </w:instrText>
      </w:r>
      <w:r w:rsidRPr="00E20053">
        <w:rPr>
          <w:rFonts w:cs="Arial"/>
          <w:b/>
          <w:sz w:val="20"/>
        </w:rPr>
        <w:fldChar w:fldCharType="separate"/>
      </w:r>
      <w:r w:rsidR="00E3436F">
        <w:rPr>
          <w:rFonts w:cs="Arial"/>
          <w:b/>
          <w:noProof/>
          <w:sz w:val="20"/>
        </w:rPr>
        <w:t>1</w:t>
      </w:r>
      <w:r w:rsidRPr="00E20053">
        <w:rPr>
          <w:rFonts w:cs="Arial"/>
          <w:b/>
          <w:sz w:val="20"/>
        </w:rPr>
        <w:fldChar w:fldCharType="end"/>
      </w:r>
      <w:r w:rsidRPr="00E20053">
        <w:rPr>
          <w:rFonts w:cs="Arial"/>
          <w:b/>
          <w:sz w:val="20"/>
        </w:rPr>
        <w:t xml:space="preserve">: </w:t>
      </w:r>
      <w:r w:rsidR="005037AD" w:rsidRPr="00E20053">
        <w:rPr>
          <w:rFonts w:cs="Arial"/>
          <w:b/>
          <w:sz w:val="20"/>
        </w:rPr>
        <w:t>FHA Multifamily Apartments</w:t>
      </w:r>
      <w:r w:rsidRPr="00E20053">
        <w:rPr>
          <w:rFonts w:cs="Arial"/>
          <w:b/>
          <w:sz w:val="20"/>
        </w:rPr>
        <w:t xml:space="preserve"> Insurance-in-Force and Count, Last 2 Years</w:t>
      </w:r>
      <w:bookmarkEnd w:id="1"/>
    </w:p>
    <w:p w14:paraId="08CACA88" w14:textId="77777777" w:rsidR="00CC67FB" w:rsidRDefault="00CC67FB" w:rsidP="00CC67FB">
      <w:pPr>
        <w:adjustRightInd w:val="0"/>
        <w:jc w:val="center"/>
        <w:rPr>
          <w:rFonts w:cs="Arial"/>
          <w:b/>
        </w:rPr>
      </w:pPr>
    </w:p>
    <w:p w14:paraId="66C88950" w14:textId="08688BB8" w:rsidR="00CC67FB" w:rsidRDefault="00055420" w:rsidP="00CC67FB">
      <w:pPr>
        <w:adjustRightInd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DC4CD90" wp14:editId="5CE931D5">
            <wp:extent cx="6858000" cy="41148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182DE45D-203D-48D1-A24B-736EE5158E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48ADF6" w14:textId="16324F37" w:rsidR="00CC67FB" w:rsidRPr="00607B0D" w:rsidRDefault="00E156C9" w:rsidP="00CC67FB">
      <w:pPr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Unpaid Principal Balance (UPB) is the current outstanding principal balance due on the mortgage. </w:t>
      </w:r>
      <w:r w:rsidR="008A4393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3A5C5F98" w14:textId="77777777" w:rsidR="003E0759" w:rsidRDefault="003E0759" w:rsidP="003E0759">
      <w:pPr>
        <w:autoSpaceDE/>
        <w:autoSpaceDN/>
        <w:spacing w:after="200" w:line="276" w:lineRule="auto"/>
        <w:rPr>
          <w:color w:val="000000"/>
        </w:rPr>
        <w:sectPr w:rsidR="003E0759" w:rsidSect="00D62048">
          <w:headerReference w:type="default" r:id="rId12"/>
          <w:footerReference w:type="defaul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3309DA56" w14:textId="77777777" w:rsidR="00507A2C" w:rsidRPr="00DE57FF" w:rsidRDefault="00507A2C">
      <w:pPr>
        <w:adjustRightInd w:val="0"/>
        <w:rPr>
          <w:color w:val="000000"/>
        </w:rPr>
      </w:pPr>
      <w:bookmarkStart w:id="4" w:name="IDX1"/>
      <w:bookmarkEnd w:id="4"/>
    </w:p>
    <w:tbl>
      <w:tblPr>
        <w:tblpPr w:leftFromText="180" w:rightFromText="180" w:vertAnchor="page" w:horzAnchor="margin" w:tblpXSpec="center" w:tblpY="1771"/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F77A58" w:rsidRPr="00507A2C" w14:paraId="6E5CAD12" w14:textId="77777777" w:rsidTr="00F77A58">
        <w:trPr>
          <w:cantSplit/>
          <w:trHeight w:val="576"/>
          <w:tblHeader/>
        </w:trPr>
        <w:tc>
          <w:tcPr>
            <w:tcW w:w="14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FF3E7" w14:textId="77777777" w:rsidR="00F77A58" w:rsidRPr="0000702F" w:rsidRDefault="00F77A58" w:rsidP="00C81CDE">
            <w:pPr>
              <w:pStyle w:val="Heading1"/>
            </w:pPr>
            <w:bookmarkStart w:id="5" w:name="_Toc512950701"/>
            <w:r w:rsidRPr="0000702F">
              <w:t xml:space="preserve">Table 2. </w:t>
            </w:r>
            <w:r w:rsidR="005D7676" w:rsidRPr="005D7676">
              <w:t>FHA Multifamily Apartments</w:t>
            </w:r>
            <w:r w:rsidR="005D7676" w:rsidRPr="0000702F">
              <w:t xml:space="preserve"> </w:t>
            </w:r>
            <w:r w:rsidRPr="0000702F">
              <w:t>Pipeline Summary</w:t>
            </w:r>
            <w:bookmarkEnd w:id="5"/>
          </w:p>
        </w:tc>
      </w:tr>
      <w:tr w:rsidR="00353D2A" w14:paraId="5E63A4A6" w14:textId="77777777" w:rsidTr="00F77A58">
        <w:trPr>
          <w:cantSplit/>
          <w:trHeight w:hRule="exact" w:val="432"/>
          <w:tblHeader/>
        </w:trPr>
        <w:tc>
          <w:tcPr>
            <w:tcW w:w="259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bottom"/>
          </w:tcPr>
          <w:p w14:paraId="746888AB" w14:textId="77777777" w:rsidR="00353D2A" w:rsidRPr="0049468F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4FEF25" w14:textId="67825A8D" w:rsidR="00353D2A" w:rsidRPr="0049468F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1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96555A" w14:textId="4D59B0EC" w:rsidR="00353D2A" w:rsidRPr="0049468F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0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5541A7" w14:textId="19A125BE" w:rsidR="00353D2A" w:rsidRPr="0049468F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FY 202</w:t>
            </w:r>
            <w:r w:rsidR="001572C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5C462FB" w14:textId="485EC2EE" w:rsidR="00353D2A" w:rsidRPr="0049468F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A1623AF" w14:textId="361E7411" w:rsidR="00353D2A" w:rsidRPr="0049468F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Final</w:t>
            </w:r>
          </w:p>
        </w:tc>
      </w:tr>
      <w:tr w:rsidR="00F77A58" w14:paraId="5683DA71" w14:textId="77777777" w:rsidTr="00F77A58">
        <w:trPr>
          <w:cantSplit/>
          <w:trHeight w:val="432"/>
          <w:tblHeader/>
        </w:trPr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B0575C" w14:textId="77777777" w:rsidR="00F77A58" w:rsidRPr="0049468F" w:rsidRDefault="00F77A58" w:rsidP="00F77A58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B144335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3631979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Loan Balance</w:t>
            </w:r>
          </w:p>
          <w:p w14:paraId="3BD53343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D1C785D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8427E9F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Loan Balance</w:t>
            </w:r>
          </w:p>
          <w:p w14:paraId="3A0076E6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EDE26ED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B8835FA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Loan Balance</w:t>
            </w:r>
          </w:p>
          <w:p w14:paraId="638B9687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D1AA9A8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2EB9276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Loan Balance</w:t>
            </w:r>
          </w:p>
          <w:p w14:paraId="225E793C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D5DA767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EBD22B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Loan Balance</w:t>
            </w:r>
          </w:p>
          <w:p w14:paraId="6DEA747D" w14:textId="77777777" w:rsidR="00F77A58" w:rsidRPr="0049468F" w:rsidRDefault="00F77A58" w:rsidP="00F77A58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</w:tr>
      <w:tr w:rsidR="004F0924" w14:paraId="47B2878D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B6004C8" w14:textId="77777777" w:rsidR="004F0924" w:rsidRPr="0049468F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</w:t>
            </w:r>
            <w:r w:rsidRPr="0049468F">
              <w:rPr>
                <w:rFonts w:cs="Arial"/>
                <w:color w:val="000000"/>
                <w:szCs w:val="18"/>
              </w:rPr>
              <w:t>plications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4DA43D6E" w14:textId="0D9658F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30D57775" w14:textId="44D7BE0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3,932.6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8549CD2" w14:textId="7990A45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3110EB8C" w14:textId="60E518B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4,759.8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12929BB" w14:textId="163CCD5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1,894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5332DCE6" w14:textId="1B4F84E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41,705.7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1514808" w14:textId="3DDFF23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1,413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6454B01" w14:textId="0AF2902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29,163.4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B5B0EA6" w14:textId="4651164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2,174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14:paraId="5F4DD35D" w14:textId="153F4E1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45,389.4</w:t>
            </w:r>
          </w:p>
        </w:tc>
      </w:tr>
      <w:tr w:rsidR="004F0924" w14:paraId="2E440FF1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07143A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221(d)(3)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a</w:t>
            </w:r>
            <w:r w:rsidRPr="0049468F">
              <w:rPr>
                <w:rFonts w:cs="Arial"/>
                <w:color w:val="000000"/>
                <w:szCs w:val="18"/>
              </w:rPr>
              <w:t>, 223(d)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r w:rsidRPr="0049468F">
              <w:rPr>
                <w:rFonts w:cs="Arial"/>
                <w:color w:val="000000"/>
                <w:szCs w:val="18"/>
              </w:rPr>
              <w:t>, 241(a)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59FAD0A" w14:textId="4EB32C1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BE4CC5" w14:textId="44B0327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94103C" w14:textId="4E5D3F2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3FB27F" w14:textId="3A140B4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AFB722" w14:textId="694ABE4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117D13" w14:textId="155A1A7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89.8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F8270E" w14:textId="4D90C52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CFF2651" w14:textId="65F5A08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79.2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36DD049" w14:textId="0EC48A0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6DC58B5" w14:textId="0DBC51F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87.1</w:t>
            </w:r>
          </w:p>
        </w:tc>
      </w:tr>
      <w:tr w:rsidR="004F0924" w14:paraId="77699EC4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4245185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221(d)(4)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57FAF1" w14:textId="0859445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4295B0" w14:textId="25FC245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1,413.4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756C3C" w14:textId="38BF8DD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C62637" w14:textId="606851E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1,251.7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B505E4" w14:textId="5CF501B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AFC3AF" w14:textId="7BFD7B8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11,873.5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2F2F1D5" w14:textId="02BCEEE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344961" w14:textId="2B35D46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7,225.2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EFCF47" w14:textId="029AF95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FEFA3BF" w14:textId="2E6B616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10,424.7</w:t>
            </w:r>
          </w:p>
        </w:tc>
      </w:tr>
      <w:tr w:rsidR="004F0924" w14:paraId="7BB16374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9FCB0E0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223(a)(7)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e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1A5BF6" w14:textId="69BC18D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46DD5C" w14:textId="0E565C6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146.1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A6E8F7" w14:textId="39756DE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441DB4" w14:textId="41EA523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1,498.9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B345149" w14:textId="6A9F85F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1F67FD" w14:textId="41B9E4D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6,081.8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CE52229" w14:textId="28E3D8E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5C6327" w14:textId="16D2754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6,462.3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5483FE" w14:textId="7EE42EB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588349" w14:textId="4E61872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9,971.8</w:t>
            </w:r>
          </w:p>
        </w:tc>
      </w:tr>
      <w:tr w:rsidR="004F0924" w14:paraId="76A5C217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F415479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223(f)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f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8527F32" w14:textId="51B408E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FE687D1" w14:textId="6C6019B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2,043.0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F530ED" w14:textId="48C77A4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6298F7" w14:textId="3E64E22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1,809.8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92FD4B" w14:textId="76A83E5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1,073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D0BFD9C" w14:textId="7BDA022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21,017.0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0D41F0" w14:textId="042F296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A735D5" w14:textId="4EC05BE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12,880.1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4C8F537" w14:textId="459BC2E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1,085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73EF08" w14:textId="5564655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21,532.6</w:t>
            </w:r>
          </w:p>
        </w:tc>
      </w:tr>
      <w:tr w:rsidR="004F0924" w14:paraId="58B3FF8D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013DF38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542 Risk </w:t>
            </w:r>
            <w:proofErr w:type="spellStart"/>
            <w:proofErr w:type="gramStart"/>
            <w:r w:rsidRPr="0049468F">
              <w:rPr>
                <w:rFonts w:cs="Arial"/>
                <w:color w:val="000000"/>
                <w:szCs w:val="18"/>
              </w:rPr>
              <w:t>Share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g,h</w:t>
            </w:r>
            <w:proofErr w:type="spellEnd"/>
            <w:proofErr w:type="gram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6752B8" w14:textId="2CF8059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7DD1B7D" w14:textId="3DC4CE3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280.8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8743831" w14:textId="3ED3918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9C88F8" w14:textId="6D418ED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139.0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3F4B69" w14:textId="3917537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3CF9A0" w14:textId="779052B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2,038.4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A4139FB" w14:textId="0408FE1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5A1746" w14:textId="060C0D6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1,687.2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23B77AD" w14:textId="03C5FBA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E6AF7DF" w14:textId="0743C86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2,044.5</w:t>
            </w:r>
          </w:p>
        </w:tc>
      </w:tr>
      <w:tr w:rsidR="004F0924" w14:paraId="6E1B747F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5FA063" w14:textId="764BD2A8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Other </w:t>
            </w:r>
            <w:proofErr w:type="spellStart"/>
            <w:r w:rsidRPr="0049468F">
              <w:rPr>
                <w:rFonts w:cs="Arial"/>
                <w:color w:val="000000"/>
                <w:szCs w:val="18"/>
              </w:rPr>
              <w:t>Rental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98B97A" w14:textId="1C86947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D104A0C" w14:textId="5D0745E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49.2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F58833" w14:textId="723875C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76DE33" w14:textId="5B697EA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58.8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3723EB" w14:textId="429A884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9BC98" w14:textId="463AE91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605.2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E750556" w14:textId="4473D64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5A8038" w14:textId="6E99BEC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829.5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F5C53A" w14:textId="18A1308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B9C1697" w14:textId="0DE62AA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1,328.8</w:t>
            </w:r>
          </w:p>
        </w:tc>
      </w:tr>
      <w:tr w:rsidR="004F0924" w14:paraId="2BD8EB08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E511D94" w14:textId="77777777" w:rsidR="004F0924" w:rsidRPr="0049468F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Commitments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8E890E7" w14:textId="5AB81F9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D0BDB77" w14:textId="073254F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2,496.9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AEF2D4A" w14:textId="678E7CD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4A9272E" w14:textId="5B2F678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2,638.1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4850EB7F" w14:textId="335B961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1,357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3675488" w14:textId="334E101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25,436.6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E22C6BE" w14:textId="4199EF2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72F18A0" w14:textId="0DBBB53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15,350.3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4D09568" w14:textId="519F218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1,137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14:paraId="2100841C" w14:textId="6906979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21,849.8</w:t>
            </w:r>
          </w:p>
        </w:tc>
      </w:tr>
      <w:tr w:rsidR="004F0924" w14:paraId="72E6A237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BD68F9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221(d)(3)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a</w:t>
            </w:r>
            <w:r w:rsidRPr="0049468F">
              <w:rPr>
                <w:rFonts w:cs="Arial"/>
                <w:color w:val="000000"/>
                <w:szCs w:val="18"/>
              </w:rPr>
              <w:t>, 223(d)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r w:rsidRPr="0049468F">
              <w:rPr>
                <w:rFonts w:cs="Arial"/>
                <w:color w:val="000000"/>
                <w:szCs w:val="18"/>
              </w:rPr>
              <w:t>, 241(a)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70F4D7" w14:textId="30E96EB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6DDAE2" w14:textId="6A899B9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572F6D4" w14:textId="0C5B8A3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673FDFA" w14:textId="75AA643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AE34D4B" w14:textId="684D70C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18F82F" w14:textId="5A222D2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68.2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1F5F6EB" w14:textId="5D23C4A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0E7906" w14:textId="55E6D63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45CB5A" w14:textId="1EBD457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96EBF4" w14:textId="504A538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40.0</w:t>
            </w:r>
          </w:p>
        </w:tc>
      </w:tr>
      <w:tr w:rsidR="004F0924" w14:paraId="59268943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EA0921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221(d)(4)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16CE5D1" w14:textId="135FEB4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9B970EB" w14:textId="5883695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451.5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2DDA16" w14:textId="1AE30E1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145B6E" w14:textId="0221CEB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488.8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40451D8" w14:textId="3FB7D86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C49EDD" w14:textId="2CCE329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3,793.7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60F647F" w14:textId="5026F7B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8F184D" w14:textId="0E54106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4,145.3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A43CB4" w14:textId="7D959DB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B9B375" w14:textId="190BFE0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5,333.0</w:t>
            </w:r>
          </w:p>
        </w:tc>
      </w:tr>
      <w:tr w:rsidR="004F0924" w14:paraId="72134288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66CAFA0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223(a)(7)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e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9A5044" w14:textId="0EC51AF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05EA96" w14:textId="04C5835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428.4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056AEF" w14:textId="33C1450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E46011" w14:textId="535CF2D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537.5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462ECA" w14:textId="291393B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87DC137" w14:textId="28DA659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6,234.5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B6A3FE8" w14:textId="65BE228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6229AD2" w14:textId="63729DF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3,000.1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89A47B9" w14:textId="3AB4AC8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1BE7174" w14:textId="3AD4AC1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5,457.0</w:t>
            </w:r>
          </w:p>
        </w:tc>
      </w:tr>
      <w:tr w:rsidR="004F0924" w14:paraId="7DE00C46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EC61FA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223(f)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f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779659" w14:textId="598B679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0CFCF10" w14:textId="3581856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1,408.6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478708" w14:textId="6CC6342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141F3D" w14:textId="1CC26A0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1,491.1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FF3F33" w14:textId="28EA143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2871C7" w14:textId="000CBDD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13,669.6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5A1A8A7" w14:textId="0BC86C1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CFBB7A" w14:textId="3F493C7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7,008.2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D5802A0" w14:textId="0EC9505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4697CA8" w14:textId="45718BA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9,532.2</w:t>
            </w:r>
          </w:p>
        </w:tc>
      </w:tr>
      <w:tr w:rsidR="004F0924" w14:paraId="31768ABC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43D211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542 Risk </w:t>
            </w:r>
            <w:proofErr w:type="spellStart"/>
            <w:proofErr w:type="gramStart"/>
            <w:r w:rsidRPr="0049468F">
              <w:rPr>
                <w:rFonts w:cs="Arial"/>
                <w:color w:val="000000"/>
                <w:szCs w:val="18"/>
              </w:rPr>
              <w:t>Share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g,h</w:t>
            </w:r>
            <w:proofErr w:type="spellEnd"/>
            <w:proofErr w:type="gram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DE9ABD" w14:textId="26498B8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9E2FFDB" w14:textId="4938500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177.2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7E3B11" w14:textId="48497AE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ACD219" w14:textId="22B1B8D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120.7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04B12B" w14:textId="0480D52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D0D9F47" w14:textId="269ACDC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1,269.9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A44CC5" w14:textId="54B4A37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0220393" w14:textId="627013B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974.2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EFE85C" w14:textId="285DF1E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B1CF9D" w14:textId="39977DC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1,243.1</w:t>
            </w:r>
          </w:p>
        </w:tc>
      </w:tr>
      <w:tr w:rsidR="004F0924" w14:paraId="049B1630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bottom"/>
          </w:tcPr>
          <w:p w14:paraId="2BB519D3" w14:textId="2F3B6195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Other </w:t>
            </w:r>
            <w:proofErr w:type="spellStart"/>
            <w:r w:rsidRPr="0049468F">
              <w:rPr>
                <w:rFonts w:cs="Arial"/>
                <w:color w:val="000000"/>
                <w:szCs w:val="18"/>
              </w:rPr>
              <w:t>Rental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5DAC9116" w14:textId="059B6A5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4046E63D" w14:textId="7579B0A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31.3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7AFB858D" w14:textId="5F7A35A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1E3F78CC" w14:textId="2FAA77D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0409E648" w14:textId="3251531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0AD4062A" w14:textId="5FD1937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400.7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02FD40F8" w14:textId="01E9995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48B2170D" w14:textId="58367BA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184.0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732B26F6" w14:textId="4D6F365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82A905" w14:textId="1B5E9F6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244.4</w:t>
            </w:r>
          </w:p>
        </w:tc>
      </w:tr>
      <w:tr w:rsidR="004F0924" w14:paraId="1A7BC3CE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CAEDC18" w14:textId="77777777" w:rsidR="004F0924" w:rsidRPr="0049468F" w:rsidRDefault="004F0924" w:rsidP="004F0924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>Endorsements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B3E6872" w14:textId="2502E20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439D48D" w14:textId="7848538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1,726.4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99BF7DE" w14:textId="04A1F3C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F80E6E5" w14:textId="29568A6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1,666.1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F26EAF0" w14:textId="0516473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1,123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0FA385" w14:textId="084BE3A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22,049.5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A011735" w14:textId="17C082D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6E429B0" w14:textId="783D6C9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12,967.0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A20322F" w14:textId="2AADAA6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0320879" w14:textId="589C86B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19,012.0</w:t>
            </w:r>
          </w:p>
        </w:tc>
      </w:tr>
      <w:tr w:rsidR="004F0924" w14:paraId="621457CC" w14:textId="77777777" w:rsidTr="004F0924">
        <w:trPr>
          <w:cantSplit/>
          <w:trHeight w:hRule="exact" w:val="288"/>
        </w:trPr>
        <w:tc>
          <w:tcPr>
            <w:tcW w:w="2592" w:type="dxa"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9137202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221(d)(3)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a</w:t>
            </w:r>
            <w:r w:rsidRPr="0049468F">
              <w:rPr>
                <w:rFonts w:cs="Arial"/>
                <w:color w:val="000000"/>
                <w:szCs w:val="18"/>
              </w:rPr>
              <w:t>, 223(d)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r w:rsidRPr="0049468F">
              <w:rPr>
                <w:rFonts w:cs="Arial"/>
                <w:color w:val="000000"/>
                <w:szCs w:val="18"/>
              </w:rPr>
              <w:t>, 241(a)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09731A" w14:textId="0BCA03C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917734" w14:textId="156C083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96F238" w14:textId="2CEEEC3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3D722CA" w14:textId="4A3F969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F5E6E0F" w14:textId="01FD2F5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4B104A7" w14:textId="4538D9F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28.5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60C2DEB" w14:textId="12B8E66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4A7381" w14:textId="46C2D2C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54.2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3DDB41" w14:textId="75FAF79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31119B7" w14:textId="0739033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54.2</w:t>
            </w:r>
          </w:p>
        </w:tc>
      </w:tr>
      <w:tr w:rsidR="004F0924" w14:paraId="5BAF98E8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9108A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221(d)(4)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C7C5965" w14:textId="07A0A58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97E5AAC" w14:textId="3919943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317.2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69504C" w14:textId="617A8B1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63A6F51" w14:textId="6E270D1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363.1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CD4C11" w14:textId="3D64CA4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EC199E" w14:textId="3163609E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3,765.6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9F9C89" w14:textId="2690B4C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452151" w14:textId="0CABA89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4,051.2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11BE97A" w14:textId="1D2414E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D8F158" w14:textId="5E3C724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5,181.0</w:t>
            </w:r>
          </w:p>
        </w:tc>
      </w:tr>
      <w:tr w:rsidR="004F0924" w14:paraId="1E1109B0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89D13F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223(a)(7)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e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2D5D58" w14:textId="7548F43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62AB66" w14:textId="42160B6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205.4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5624E7" w14:textId="68B14AE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D251EA" w14:textId="6F94DA5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307.7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19D46FE" w14:textId="0FE6B02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B92E9A" w14:textId="55C97C1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6,722.6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3DA9DB" w14:textId="66B0920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8A9FD37" w14:textId="03C2A55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2,257.1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640BD6" w14:textId="356503B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526D6F3" w14:textId="453C8BC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3,777.0</w:t>
            </w:r>
          </w:p>
        </w:tc>
      </w:tr>
      <w:tr w:rsidR="004F0924" w14:paraId="0DC42990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EAD5D83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>223(f)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f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E92363" w14:textId="046A73F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9FF5AAB" w14:textId="66C77734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1,037.5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461375" w14:textId="4626702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F655854" w14:textId="5568354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893.9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DFA6CC6" w14:textId="04B8EE1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B2BD51B" w14:textId="07AF774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10,365.2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9B12F3" w14:textId="29E9577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32B935" w14:textId="294C31A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5,760.6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F82AA6" w14:textId="700ED8C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E892103" w14:textId="474DF94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8,862.0</w:t>
            </w:r>
          </w:p>
        </w:tc>
      </w:tr>
      <w:tr w:rsidR="004F0924" w14:paraId="4C65DE42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bottom"/>
          </w:tcPr>
          <w:p w14:paraId="397B3901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  <w:vertAlign w:val="superscript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542 Risk </w:t>
            </w:r>
            <w:proofErr w:type="spellStart"/>
            <w:proofErr w:type="gramStart"/>
            <w:r w:rsidRPr="0049468F">
              <w:rPr>
                <w:rFonts w:cs="Arial"/>
                <w:color w:val="000000"/>
                <w:szCs w:val="18"/>
              </w:rPr>
              <w:t>Share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g,h</w:t>
            </w:r>
            <w:proofErr w:type="spellEnd"/>
            <w:proofErr w:type="gramEnd"/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47469DF9" w14:textId="49C957A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7B2745A6" w14:textId="07BFEE2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106.6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2CA7FC99" w14:textId="25B0DFD0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439246D5" w14:textId="0D382D2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101.3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5DB43DA2" w14:textId="411A750A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66AD4B0A" w14:textId="03197578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851.4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21249AA6" w14:textId="0606315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144D87E2" w14:textId="7D9E08A2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709.9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nil"/>
            </w:tcBorders>
            <w:shd w:val="clear" w:color="auto" w:fill="FFFFFF"/>
            <w:vAlign w:val="bottom"/>
          </w:tcPr>
          <w:p w14:paraId="7D6297B4" w14:textId="418B0703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62D3D8" w14:textId="3D19263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1,003.9</w:t>
            </w:r>
          </w:p>
        </w:tc>
      </w:tr>
      <w:tr w:rsidR="004F0924" w14:paraId="2CEDCE8A" w14:textId="77777777" w:rsidTr="004F0924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B0C6D2E" w14:textId="77777777" w:rsidR="004F0924" w:rsidRPr="0049468F" w:rsidRDefault="004F0924" w:rsidP="004F0924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49468F">
              <w:rPr>
                <w:rFonts w:cs="Arial"/>
                <w:color w:val="000000"/>
                <w:szCs w:val="18"/>
              </w:rPr>
              <w:t xml:space="preserve">Other </w:t>
            </w:r>
            <w:proofErr w:type="spellStart"/>
            <w:r w:rsidRPr="0049468F">
              <w:rPr>
                <w:rFonts w:cs="Arial"/>
                <w:color w:val="000000"/>
                <w:szCs w:val="18"/>
              </w:rPr>
              <w:t>Rental</w:t>
            </w:r>
            <w:r w:rsidRPr="0049468F">
              <w:rPr>
                <w:rFonts w:cs="Arial"/>
                <w:color w:val="000000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6C56A6F" w14:textId="54126DCF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E90ED60" w14:textId="7086E115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59.7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8EF7FE7" w14:textId="2021D2DC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70A767E" w14:textId="2328C1AB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77094BE" w14:textId="5D311D7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507161D" w14:textId="120B7487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316.3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BE82F41" w14:textId="061B7DD6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569867D" w14:textId="78D3F341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133.9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C5933E4" w14:textId="78535769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5287A6E" w14:textId="21DD85ED" w:rsidR="004F0924" w:rsidRPr="00B64470" w:rsidRDefault="004F0924" w:rsidP="004F0924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133.9</w:t>
            </w:r>
          </w:p>
        </w:tc>
      </w:tr>
      <w:tr w:rsidR="00F77A58" w14:paraId="301154E2" w14:textId="77777777" w:rsidTr="00F77A58">
        <w:trPr>
          <w:cantSplit/>
        </w:trPr>
        <w:tc>
          <w:tcPr>
            <w:tcW w:w="14112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A195249" w14:textId="77777777" w:rsidR="00F77A58" w:rsidRPr="00C4598D" w:rsidRDefault="00F77A58" w:rsidP="00F77A58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</w:rPr>
            </w:pP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221(d)(3): Insures mortgage loans in order to facilitate the new construction or rehabilitation of multi-family rental, cooperative housing, or single-room occupancy facilities (SROs) for moderate-income households, the elderly, and people with disabilities for up to 100 percent of replacement costs for public, nonprofit, and cooperative mortgagors.</w:t>
            </w:r>
          </w:p>
          <w:p w14:paraId="78767F4D" w14:textId="77777777" w:rsidR="00F77A58" w:rsidRPr="00C4598D" w:rsidRDefault="00F77A58" w:rsidP="00F77A58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</w:rPr>
            </w:pP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b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223(d): Insures two-year operating loss loans that cover operating losses during the first 2 years after completion (or any other 2-year period within the first 10 years after completion) of multifamily projects with a HUD-insured first mortgage.</w:t>
            </w:r>
          </w:p>
          <w:p w14:paraId="74FEA36E" w14:textId="77777777" w:rsidR="00F77A58" w:rsidRPr="00C4598D" w:rsidRDefault="00F77A58" w:rsidP="00F77A58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  <w:vertAlign w:val="superscript"/>
              </w:rPr>
            </w:pP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c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241(a): Insures mortgage loans to finance repairs, additions, and improvements to multifamily rental housing and health care facilities with FHA-insured first mortgages or HUD-held mortgages.</w:t>
            </w:r>
          </w:p>
          <w:p w14:paraId="4D78D85D" w14:textId="0EB73B72" w:rsidR="00F77A58" w:rsidRPr="001E6247" w:rsidRDefault="00F77A58" w:rsidP="009A7D80">
            <w:pPr>
              <w:rPr>
                <w:rFonts w:cs="Arial"/>
                <w:color w:val="000000"/>
                <w:sz w:val="16"/>
                <w:szCs w:val="16"/>
              </w:rPr>
            </w:pP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d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221(d)(4): Insures mortgage loans in order to facilitate the new construction or rehabilitation of multi-family rental, cooperative housing, or single-room occupancy facilities (SROs) for moderate-income households, the elderly, and people with disabilities for up to 90 percent of replacement costs irrespective of the type of mortgagor.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e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223(a)(7): Permits refinancing of an existing loan to reduce interest rate and/or extend amortization period in order to reduce risk of default.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lastRenderedPageBreak/>
              <w:t xml:space="preserve">f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223(f): Insures mortgage loans to facilitate the purchase or refinancing of existing multifamily rental housing. These projects may have been financed originally with conventional or FHA-insured mortgages. Properties requiring substantial rehabilitation are not eligible for mortgage insurance under this program. HUD permits the completion of non-critical repairs after endorsement for mortgage insurance.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g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542(b): Authorizes HUD to enter into reinsurance agreements with Fannie Mae, Freddie Mac, qualified financial institutions (QFIs), and the Federal Housing Finance Board. The agreements provide for risk-sharing on a 50-50 basis. Currently, only Fannie Mae and Freddie Mac have active risk-sharing programs with HUD.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h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Section 542(c): Enables HUD to carry out a program in conjunction with qualified state and local housing finance agencies (HFAs) to provide federal credit enhancement for loans for affordable multifamily housing through a system of risk-sharing agreements. Agreements provide for risk-sharing between 10 percent and 90 percent.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proofErr w:type="spellStart"/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>i</w:t>
            </w:r>
            <w:proofErr w:type="spellEnd"/>
            <w:r w:rsidRPr="00C4598D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t>Other Rental: Mortgage loan insurance for Mobile Home Courts (Section 207), Management Cooperative (Section 213), Consumer Cooperative (Section 213(</w:t>
            </w:r>
            <w:proofErr w:type="spellStart"/>
            <w:r w:rsidRPr="00C4598D">
              <w:rPr>
                <w:rFonts w:cs="Arial"/>
                <w:color w:val="000000"/>
                <w:sz w:val="16"/>
                <w:szCs w:val="16"/>
              </w:rPr>
              <w:t>i</w:t>
            </w:r>
            <w:proofErr w:type="spellEnd"/>
            <w:r w:rsidRPr="00C4598D">
              <w:rPr>
                <w:rFonts w:cs="Arial"/>
                <w:color w:val="000000"/>
                <w:sz w:val="16"/>
                <w:szCs w:val="16"/>
              </w:rPr>
              <w:t>)), Urban Renewal Housing (Section 220), and Elderly Housing (Section 231).</w:t>
            </w:r>
            <w:r w:rsidRPr="00C4598D">
              <w:rPr>
                <w:rFonts w:cs="Arial"/>
                <w:color w:val="000000"/>
                <w:sz w:val="16"/>
                <w:szCs w:val="16"/>
              </w:rPr>
              <w:br/>
            </w:r>
            <w:r w:rsidR="004F0924"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4E16CCEC" w14:textId="77777777" w:rsidR="00EF1C86" w:rsidRDefault="00EF1C86">
      <w:pPr>
        <w:sectPr w:rsidR="00EF1C86" w:rsidSect="00CA0E65">
          <w:pgSz w:w="15840" w:h="12240" w:orient="landscape" w:code="1"/>
          <w:pgMar w:top="720" w:right="720" w:bottom="720" w:left="720" w:header="720" w:footer="720" w:gutter="0"/>
          <w:cols w:space="720"/>
          <w:docGrid w:linePitch="272"/>
        </w:sectPr>
      </w:pPr>
    </w:p>
    <w:p w14:paraId="5BC04CFA" w14:textId="11CDFC0D" w:rsidR="00EF1C86" w:rsidRPr="00E20053" w:rsidRDefault="00EF1C86" w:rsidP="003B1F02">
      <w:pPr>
        <w:autoSpaceDE/>
        <w:autoSpaceDN/>
        <w:spacing w:after="200" w:line="276" w:lineRule="auto"/>
        <w:jc w:val="center"/>
        <w:rPr>
          <w:rFonts w:cs="Arial"/>
          <w:b/>
          <w:i/>
          <w:sz w:val="20"/>
        </w:rPr>
      </w:pPr>
      <w:bookmarkStart w:id="6" w:name="_Toc512950734"/>
      <w:r w:rsidRPr="00E20053">
        <w:rPr>
          <w:rFonts w:cs="Arial"/>
          <w:b/>
          <w:sz w:val="20"/>
        </w:rPr>
        <w:lastRenderedPageBreak/>
        <w:t xml:space="preserve">Figure </w:t>
      </w:r>
      <w:r w:rsidRPr="00E20053">
        <w:rPr>
          <w:rFonts w:cs="Arial"/>
          <w:b/>
          <w:i/>
          <w:sz w:val="20"/>
        </w:rPr>
        <w:fldChar w:fldCharType="begin"/>
      </w:r>
      <w:r w:rsidRPr="00E20053">
        <w:rPr>
          <w:rFonts w:cs="Arial"/>
          <w:b/>
          <w:sz w:val="20"/>
        </w:rPr>
        <w:instrText xml:space="preserve"> SEQ Figure \* ARABIC </w:instrText>
      </w:r>
      <w:r w:rsidRPr="00E20053">
        <w:rPr>
          <w:rFonts w:cs="Arial"/>
          <w:b/>
          <w:i/>
          <w:sz w:val="20"/>
        </w:rPr>
        <w:fldChar w:fldCharType="separate"/>
      </w:r>
      <w:r w:rsidR="00E3436F">
        <w:rPr>
          <w:rFonts w:cs="Arial"/>
          <w:b/>
          <w:noProof/>
          <w:sz w:val="20"/>
        </w:rPr>
        <w:t>2</w:t>
      </w:r>
      <w:r w:rsidRPr="00E20053">
        <w:rPr>
          <w:rFonts w:cs="Arial"/>
          <w:b/>
          <w:i/>
          <w:sz w:val="20"/>
        </w:rPr>
        <w:fldChar w:fldCharType="end"/>
      </w:r>
      <w:r w:rsidRPr="00E20053">
        <w:rPr>
          <w:rFonts w:cs="Arial"/>
          <w:b/>
          <w:sz w:val="20"/>
        </w:rPr>
        <w:t xml:space="preserve">: </w:t>
      </w:r>
      <w:r w:rsidR="005037AD" w:rsidRPr="00E20053">
        <w:rPr>
          <w:rFonts w:cs="Arial"/>
          <w:b/>
          <w:sz w:val="20"/>
        </w:rPr>
        <w:t>FHA Multifamily Apartments</w:t>
      </w:r>
      <w:r w:rsidR="00C1600F" w:rsidRPr="00E20053">
        <w:rPr>
          <w:rFonts w:cs="Arial"/>
          <w:b/>
          <w:sz w:val="20"/>
        </w:rPr>
        <w:t xml:space="preserve"> </w:t>
      </w:r>
      <w:r w:rsidRPr="00E20053">
        <w:rPr>
          <w:rFonts w:cs="Arial"/>
          <w:b/>
          <w:sz w:val="20"/>
        </w:rPr>
        <w:t>Endorsement UPB and Count for All Risk Categories</w:t>
      </w:r>
      <w:r w:rsidR="00FD4FF8" w:rsidRPr="00E20053">
        <w:rPr>
          <w:rFonts w:cs="Arial"/>
          <w:b/>
          <w:sz w:val="20"/>
        </w:rPr>
        <w:t>,</w:t>
      </w:r>
      <w:r w:rsidRPr="00E20053">
        <w:rPr>
          <w:rFonts w:cs="Arial"/>
          <w:b/>
          <w:sz w:val="20"/>
        </w:rPr>
        <w:t xml:space="preserve"> Last 2 Years</w:t>
      </w:r>
      <w:bookmarkEnd w:id="6"/>
    </w:p>
    <w:p w14:paraId="7B560B74" w14:textId="1CE61FAC" w:rsidR="00EF1C86" w:rsidRDefault="00055420" w:rsidP="00EF1C86">
      <w:pPr>
        <w:autoSpaceDE/>
        <w:autoSpaceDN/>
        <w:spacing w:after="200" w:line="276" w:lineRule="auto"/>
        <w:rPr>
          <w:rFonts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359C727" wp14:editId="4DDAEAC1">
            <wp:extent cx="6858000" cy="3383280"/>
            <wp:effectExtent l="0" t="0" r="0" b="762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AEB7ADD0-5B21-4803-9EDB-35AC238B76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2056D">
        <w:rPr>
          <w:rFonts w:cs="Arial"/>
          <w:color w:val="000000"/>
          <w:sz w:val="16"/>
          <w:szCs w:val="16"/>
        </w:rPr>
        <w:br/>
        <w:t>Unpaid Principal Balance (UPB) is the current outstanding principal balance due on the mortgage.</w:t>
      </w:r>
      <w:r w:rsidR="0062056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2F024BEA" w14:textId="3B1D1EC2" w:rsidR="00EF1C86" w:rsidRPr="00E20053" w:rsidRDefault="00EF1C86" w:rsidP="00EF1C86">
      <w:pPr>
        <w:pStyle w:val="Caption"/>
        <w:keepNext/>
        <w:jc w:val="center"/>
        <w:rPr>
          <w:rFonts w:cs="Arial"/>
          <w:b/>
          <w:i w:val="0"/>
          <w:color w:val="auto"/>
          <w:sz w:val="20"/>
          <w:szCs w:val="20"/>
        </w:rPr>
      </w:pPr>
      <w:bookmarkStart w:id="7" w:name="_Toc512950735"/>
      <w:r w:rsidRPr="00E20053">
        <w:rPr>
          <w:rFonts w:cs="Arial"/>
          <w:b/>
          <w:i w:val="0"/>
          <w:color w:val="auto"/>
          <w:sz w:val="20"/>
          <w:szCs w:val="20"/>
        </w:rPr>
        <w:t xml:space="preserve">Figure </w: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E20053">
        <w:rPr>
          <w:rFonts w:cs="Arial"/>
          <w:b/>
          <w:i w:val="0"/>
          <w:color w:val="auto"/>
          <w:sz w:val="20"/>
          <w:szCs w:val="20"/>
        </w:rPr>
        <w:instrText xml:space="preserve"> SEQ Figure \* ARABIC </w:instrTex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="00E3436F">
        <w:rPr>
          <w:rFonts w:cs="Arial"/>
          <w:b/>
          <w:i w:val="0"/>
          <w:noProof/>
          <w:color w:val="auto"/>
          <w:sz w:val="20"/>
          <w:szCs w:val="20"/>
        </w:rPr>
        <w:t>3</w: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E20053">
        <w:rPr>
          <w:rFonts w:cs="Arial"/>
          <w:b/>
          <w:i w:val="0"/>
          <w:color w:val="auto"/>
          <w:sz w:val="20"/>
          <w:szCs w:val="20"/>
        </w:rPr>
        <w:t xml:space="preserve">: </w:t>
      </w:r>
      <w:r w:rsidR="005037AD" w:rsidRPr="00E20053">
        <w:rPr>
          <w:rFonts w:cs="Arial"/>
          <w:b/>
          <w:i w:val="0"/>
          <w:color w:val="auto"/>
          <w:sz w:val="20"/>
          <w:szCs w:val="20"/>
        </w:rPr>
        <w:t>FHA Multifamily Apartments</w:t>
      </w:r>
      <w:r w:rsidR="00C1600F" w:rsidRPr="00E20053">
        <w:rPr>
          <w:rFonts w:cs="Arial"/>
          <w:b/>
          <w:i w:val="0"/>
          <w:color w:val="auto"/>
          <w:sz w:val="20"/>
          <w:szCs w:val="20"/>
        </w:rPr>
        <w:t xml:space="preserve"> </w:t>
      </w:r>
      <w:r w:rsidRPr="00E20053">
        <w:rPr>
          <w:rFonts w:cs="Arial"/>
          <w:b/>
          <w:i w:val="0"/>
          <w:color w:val="auto"/>
          <w:sz w:val="20"/>
          <w:szCs w:val="20"/>
        </w:rPr>
        <w:t>Endorsement Amount by Risk Category</w:t>
      </w:r>
      <w:r w:rsidR="00FD4FF8" w:rsidRPr="00E20053">
        <w:rPr>
          <w:rFonts w:cs="Arial"/>
          <w:b/>
          <w:i w:val="0"/>
          <w:color w:val="auto"/>
          <w:sz w:val="20"/>
          <w:szCs w:val="20"/>
        </w:rPr>
        <w:t xml:space="preserve">, </w:t>
      </w:r>
      <w:r w:rsidRPr="00E20053">
        <w:rPr>
          <w:rFonts w:cs="Arial"/>
          <w:b/>
          <w:i w:val="0"/>
          <w:color w:val="auto"/>
          <w:sz w:val="20"/>
          <w:szCs w:val="20"/>
        </w:rPr>
        <w:t>Last 2 Years</w:t>
      </w:r>
      <w:bookmarkEnd w:id="7"/>
    </w:p>
    <w:p w14:paraId="062723B5" w14:textId="65F1F2B6" w:rsidR="00EF1C86" w:rsidRDefault="0019752D" w:rsidP="00EF1C86">
      <w:pPr>
        <w:autoSpaceDE/>
        <w:autoSpaceDN/>
        <w:spacing w:after="200" w:line="276" w:lineRule="auto"/>
        <w:rPr>
          <w:color w:val="000000"/>
        </w:rPr>
      </w:pPr>
      <w:r>
        <w:rPr>
          <w:noProof/>
        </w:rPr>
        <w:drawing>
          <wp:inline distT="0" distB="0" distL="0" distR="0" wp14:anchorId="0DF92F59" wp14:editId="4495AD18">
            <wp:extent cx="6858000" cy="3383280"/>
            <wp:effectExtent l="0" t="0" r="0" b="762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F5AD4321-4444-4F18-9759-B574A94799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F1C86">
        <w:rPr>
          <w:color w:val="000000"/>
        </w:rPr>
        <w:br/>
      </w:r>
      <w:r w:rsidR="0062056D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8064B4">
        <w:rPr>
          <w:rFonts w:cs="Arial"/>
          <w:color w:val="000000"/>
          <w:sz w:val="16"/>
          <w:szCs w:val="16"/>
        </w:rPr>
        <w:br/>
      </w:r>
      <w:r w:rsidR="00C44CB5" w:rsidRPr="00C44CB5">
        <w:rPr>
          <w:rFonts w:cs="Arial"/>
          <w:color w:val="000000"/>
          <w:sz w:val="16"/>
          <w:szCs w:val="16"/>
        </w:rPr>
        <w:t>Other Rental: Mortgage loan Insurance for Mobile Home Courts (Section 207), Management Cooperative (Section 213), Consumer Cooperative (Section 213(</w:t>
      </w:r>
      <w:proofErr w:type="spellStart"/>
      <w:r w:rsidR="00C44CB5" w:rsidRPr="00C44CB5">
        <w:rPr>
          <w:rFonts w:cs="Arial"/>
          <w:color w:val="000000"/>
          <w:sz w:val="16"/>
          <w:szCs w:val="16"/>
        </w:rPr>
        <w:t>i</w:t>
      </w:r>
      <w:proofErr w:type="spellEnd"/>
      <w:r w:rsidR="00C44CB5" w:rsidRPr="00C44CB5">
        <w:rPr>
          <w:rFonts w:cs="Arial"/>
          <w:color w:val="000000"/>
          <w:sz w:val="16"/>
          <w:szCs w:val="16"/>
        </w:rPr>
        <w:t>)), Urban Renewal Housing (Section 220) and Elderly Housing (Section 231).</w:t>
      </w:r>
      <w:r w:rsidR="0062056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23F22790" w14:textId="464487B4" w:rsidR="00F63546" w:rsidRDefault="00F63546">
      <w:pPr>
        <w:sectPr w:rsidR="00F63546" w:rsidSect="00EF1C86">
          <w:pgSz w:w="12240" w:h="15840" w:code="1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pPr w:leftFromText="187" w:rightFromText="187" w:vertAnchor="page" w:tblpXSpec="center" w:tblpY="1441"/>
        <w:tblOverlap w:val="never"/>
        <w:tblW w:w="475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84"/>
        <w:gridCol w:w="1584"/>
        <w:gridCol w:w="1584"/>
      </w:tblGrid>
      <w:tr w:rsidR="005865C3" w:rsidRPr="005865C3" w14:paraId="284507D6" w14:textId="77777777" w:rsidTr="00D172B6">
        <w:trPr>
          <w:trHeight w:val="576"/>
        </w:trPr>
        <w:tc>
          <w:tcPr>
            <w:tcW w:w="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8167" w14:textId="77777777" w:rsidR="005865C3" w:rsidRPr="005865C3" w:rsidRDefault="005865C3" w:rsidP="00712629">
            <w:pPr>
              <w:pStyle w:val="Heading1"/>
            </w:pPr>
            <w:bookmarkStart w:id="8" w:name="_Toc421699301"/>
            <w:bookmarkStart w:id="9" w:name="_Toc421783803"/>
            <w:bookmarkStart w:id="10" w:name="_Toc512950702"/>
            <w:r w:rsidRPr="005865C3">
              <w:lastRenderedPageBreak/>
              <w:t>Table 3. FHA Multifamily Apartments 60+ Day Default Rate</w:t>
            </w:r>
            <w:bookmarkEnd w:id="8"/>
            <w:bookmarkEnd w:id="9"/>
            <w:bookmarkEnd w:id="10"/>
          </w:p>
        </w:tc>
      </w:tr>
      <w:tr w:rsidR="005865C3" w:rsidRPr="005865C3" w14:paraId="695A68B6" w14:textId="77777777" w:rsidTr="00D172B6">
        <w:trPr>
          <w:trHeight w:val="288"/>
        </w:trPr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7827" w14:textId="77777777" w:rsidR="005865C3" w:rsidRPr="001979B1" w:rsidRDefault="005865C3" w:rsidP="00712629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Calendar Year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6115" w14:textId="0F97A73E" w:rsidR="005865C3" w:rsidRPr="001979B1" w:rsidRDefault="005865C3" w:rsidP="00712629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Month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58A5" w14:textId="77777777" w:rsidR="005865C3" w:rsidRPr="001979B1" w:rsidRDefault="005865C3" w:rsidP="00262BD1">
            <w:pPr>
              <w:autoSpaceDE/>
              <w:autoSpaceDN/>
              <w:jc w:val="center"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Default </w:t>
            </w:r>
            <w:proofErr w:type="spellStart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>Rate</w:t>
            </w:r>
            <w:r w:rsidRPr="001979B1">
              <w:rPr>
                <w:rFonts w:eastAsia="Times New Roman" w:cs="Arial"/>
                <w:bCs/>
                <w:color w:val="000000"/>
                <w:szCs w:val="18"/>
                <w:vertAlign w:val="superscript"/>
              </w:rPr>
              <w:t>a</w:t>
            </w:r>
            <w:proofErr w:type="spellEnd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 (%)</w:t>
            </w:r>
          </w:p>
        </w:tc>
      </w:tr>
      <w:tr w:rsidR="0076002A" w:rsidRPr="005865C3" w14:paraId="63BFCD9E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525F5" w14:textId="5B34FF0F" w:rsidR="0076002A" w:rsidRDefault="00645445" w:rsidP="00243D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2018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49DF568" w14:textId="454DDAE4" w:rsidR="0076002A" w:rsidRDefault="0076002A" w:rsidP="00243D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ADC629C" w14:textId="5A8064CC" w:rsidR="0076002A" w:rsidRDefault="00540230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0.09</w:t>
            </w:r>
          </w:p>
        </w:tc>
      </w:tr>
      <w:tr w:rsidR="003D0621" w:rsidRPr="005865C3" w14:paraId="1556F74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365AC" w14:textId="77777777" w:rsidR="003D0621" w:rsidRDefault="003D0621" w:rsidP="00243DF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CB07DC1" w14:textId="38C10D42" w:rsidR="003D0621" w:rsidRDefault="00A36346" w:rsidP="00243D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D54222" w14:textId="1C7B0B55" w:rsidR="003D0621" w:rsidRDefault="00A4671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0.10</w:t>
            </w:r>
          </w:p>
        </w:tc>
      </w:tr>
      <w:tr w:rsidR="009D1F0F" w:rsidRPr="005865C3" w14:paraId="0416D5F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1A024" w14:textId="77777777" w:rsidR="009D1F0F" w:rsidRDefault="009D1F0F" w:rsidP="009D1F0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29943CA" w14:textId="0A15DC22" w:rsidR="009D1F0F" w:rsidRDefault="009D1F0F" w:rsidP="009D1F0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CCA9DDB" w14:textId="03AAB429" w:rsidR="009D1F0F" w:rsidRDefault="009D1F0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0.13</w:t>
            </w:r>
          </w:p>
        </w:tc>
      </w:tr>
      <w:tr w:rsidR="009D1F0F" w:rsidRPr="005865C3" w14:paraId="37953A7D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405D0" w14:textId="77777777" w:rsidR="009D1F0F" w:rsidRDefault="009D1F0F" w:rsidP="009D1F0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61FCD08" w14:textId="4C25A1D2" w:rsidR="009D1F0F" w:rsidRDefault="009D1F0F" w:rsidP="009D1F0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D09AF42" w14:textId="4F9A29F4" w:rsidR="009D1F0F" w:rsidRDefault="009D1F0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0.09</w:t>
            </w:r>
          </w:p>
        </w:tc>
      </w:tr>
      <w:tr w:rsidR="00B65D24" w:rsidRPr="005865C3" w14:paraId="73773452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3124F" w14:textId="77777777" w:rsidR="00B65D24" w:rsidRDefault="00B65D24" w:rsidP="00B65D24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424361" w14:textId="372B1592" w:rsidR="00B65D24" w:rsidRDefault="00B65D24" w:rsidP="00B65D24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E1FC28C" w14:textId="0AE74F98" w:rsidR="00B65D24" w:rsidRDefault="00B65D24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0.08</w:t>
            </w:r>
          </w:p>
        </w:tc>
      </w:tr>
      <w:tr w:rsidR="009D0860" w:rsidRPr="005865C3" w14:paraId="7A145EDE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FE550" w14:textId="77777777" w:rsidR="009D0860" w:rsidRDefault="009D0860" w:rsidP="009D0860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5FD061B" w14:textId="4628CED9" w:rsidR="009D0860" w:rsidRDefault="009D0860" w:rsidP="009D0860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DFFDB2" w14:textId="269428AF" w:rsidR="009D0860" w:rsidRDefault="009D0860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0.10</w:t>
            </w:r>
          </w:p>
        </w:tc>
      </w:tr>
      <w:tr w:rsidR="00DC419F" w:rsidRPr="005865C3" w14:paraId="008078D3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1C343" w14:textId="77777777" w:rsidR="00DC419F" w:rsidRDefault="00DC419F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BCBD5B" w14:textId="79DB8260" w:rsidR="00DC419F" w:rsidRDefault="00DC419F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B901A3" w14:textId="752594AF" w:rsidR="00DC419F" w:rsidRDefault="00DC419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0.11</w:t>
            </w:r>
          </w:p>
        </w:tc>
      </w:tr>
      <w:tr w:rsidR="00DC419F" w:rsidRPr="005865C3" w14:paraId="739935C8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5D94D" w14:textId="3486A2C3" w:rsidR="00DC419F" w:rsidRDefault="00DC419F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6DDFD77" w14:textId="2EF258A3" w:rsidR="00DC419F" w:rsidRDefault="00DC419F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D51BBA9" w14:textId="03F07C7D" w:rsidR="00DC419F" w:rsidRDefault="00DC419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CE320C">
              <w:rPr>
                <w:rFonts w:cs="Arial"/>
                <w:szCs w:val="18"/>
              </w:rPr>
              <w:t>12</w:t>
            </w:r>
          </w:p>
        </w:tc>
      </w:tr>
      <w:tr w:rsidR="00284F09" w:rsidRPr="005865C3" w14:paraId="326CE7B4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A5AC0" w14:textId="77777777" w:rsidR="00284F09" w:rsidRDefault="00284F09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B385842" w14:textId="059BC85C" w:rsidR="00284F09" w:rsidRDefault="00284F09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B9EB405" w14:textId="6C1793E2" w:rsidR="00284F09" w:rsidRDefault="00C47272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0.12</w:t>
            </w:r>
          </w:p>
        </w:tc>
      </w:tr>
      <w:tr w:rsidR="002879AE" w:rsidRPr="005865C3" w14:paraId="1A45C25A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901B7" w14:textId="77777777" w:rsidR="002879AE" w:rsidRDefault="002879AE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BB3CF13" w14:textId="558C28DA" w:rsidR="002879AE" w:rsidRDefault="002879AE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C1C0703" w14:textId="69270DD1" w:rsidR="002879AE" w:rsidRDefault="00D6495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0.13</w:t>
            </w:r>
          </w:p>
        </w:tc>
      </w:tr>
      <w:tr w:rsidR="001E04AE" w:rsidRPr="005865C3" w14:paraId="591C0D0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689ED" w14:textId="77777777" w:rsidR="001E04AE" w:rsidRDefault="001E04AE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9C629FB" w14:textId="401F1E66" w:rsidR="001E04AE" w:rsidRDefault="001E04AE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24556B4" w14:textId="0757FAF0" w:rsidR="001E04AE" w:rsidRDefault="001E04AE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0.14</w:t>
            </w:r>
          </w:p>
        </w:tc>
      </w:tr>
      <w:tr w:rsidR="00C33F72" w:rsidRPr="005865C3" w14:paraId="15F0301B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39BDD" w14:textId="77777777" w:rsidR="00C33F72" w:rsidRDefault="00C33F72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05F38AB" w14:textId="2786159B" w:rsidR="00C33F72" w:rsidRDefault="00C33F72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0DA142" w14:textId="715FF972" w:rsidR="00C33F72" w:rsidRDefault="007A4041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0.08</w:t>
            </w:r>
          </w:p>
        </w:tc>
      </w:tr>
      <w:tr w:rsidR="00DA1D0F" w:rsidRPr="005865C3" w14:paraId="2BAFE4F9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1CEAC" w14:textId="77777777" w:rsidR="00DA1D0F" w:rsidRDefault="00DA1D0F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AC26A0A" w14:textId="102F9731" w:rsidR="00DA1D0F" w:rsidRDefault="00DA1D0F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F6AB509" w14:textId="30185399" w:rsidR="00DA1D0F" w:rsidRDefault="007D0DEB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0.10</w:t>
            </w:r>
          </w:p>
        </w:tc>
      </w:tr>
      <w:tr w:rsidR="00BB63C3" w:rsidRPr="005865C3" w14:paraId="60D71866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29739" w14:textId="77777777" w:rsidR="00BB63C3" w:rsidRDefault="00BB63C3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AE01763" w14:textId="34AD83C3" w:rsidR="00BB63C3" w:rsidRDefault="00BB63C3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1EDF4DA" w14:textId="7E3EAA32" w:rsidR="00BB63C3" w:rsidRDefault="00534E61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0.04</w:t>
            </w:r>
          </w:p>
        </w:tc>
      </w:tr>
      <w:tr w:rsidR="002D18E3" w:rsidRPr="005865C3" w14:paraId="748EB909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6A1B" w14:textId="77777777" w:rsidR="002D18E3" w:rsidRDefault="002D18E3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207901B" w14:textId="6581AA66" w:rsidR="002D18E3" w:rsidRDefault="002D18E3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7305737" w14:textId="563C2B40" w:rsidR="002D18E3" w:rsidRDefault="00CF6488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DA6B55">
              <w:rPr>
                <w:rFonts w:cs="Arial"/>
                <w:szCs w:val="18"/>
              </w:rPr>
              <w:t>06</w:t>
            </w:r>
          </w:p>
        </w:tc>
      </w:tr>
      <w:tr w:rsidR="00323EE6" w:rsidRPr="005865C3" w14:paraId="4ABFFE85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6DB0F" w14:textId="77777777" w:rsidR="00323EE6" w:rsidRDefault="00323EE6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D4E8D3C" w14:textId="3A28107E" w:rsidR="00323EE6" w:rsidRDefault="00323EE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8D3F3E" w14:textId="34B23D5C" w:rsidR="00323EE6" w:rsidRDefault="00452CBA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0.09</w:t>
            </w:r>
          </w:p>
        </w:tc>
      </w:tr>
      <w:tr w:rsidR="00181473" w:rsidRPr="005865C3" w14:paraId="4802B5D9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C9FCD" w14:textId="77777777" w:rsidR="00181473" w:rsidRDefault="00181473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10B3FF5" w14:textId="6A0833BB" w:rsidR="00181473" w:rsidRDefault="00181473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7A17498" w14:textId="2C8D4FCB" w:rsidR="00181473" w:rsidRDefault="008435D4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0.04</w:t>
            </w:r>
          </w:p>
        </w:tc>
      </w:tr>
      <w:tr w:rsidR="00D172B6" w:rsidRPr="005865C3" w14:paraId="0AEC2570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FE0BF" w14:textId="77777777" w:rsidR="00D172B6" w:rsidRDefault="00D172B6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D6DD3D4" w14:textId="60D676D7" w:rsidR="00D172B6" w:rsidRDefault="00D172B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964610E" w14:textId="69A1A0D7" w:rsidR="00D172B6" w:rsidRDefault="00D172B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0.03</w:t>
            </w:r>
          </w:p>
        </w:tc>
      </w:tr>
      <w:tr w:rsidR="00E66523" w:rsidRPr="005865C3" w14:paraId="716C78D4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5C8D3" w14:textId="77777777" w:rsidR="00E66523" w:rsidRDefault="00E66523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B5FC26" w14:textId="5AF98FCF" w:rsidR="00262BD1" w:rsidRDefault="00262BD1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97322C" w14:textId="589B598D" w:rsidR="00262BD1" w:rsidRDefault="00262BD1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02276D">
              <w:rPr>
                <w:rFonts w:cs="Arial"/>
                <w:szCs w:val="18"/>
              </w:rPr>
              <w:t>07</w:t>
            </w:r>
          </w:p>
        </w:tc>
      </w:tr>
      <w:tr w:rsidR="00262BD1" w:rsidRPr="005865C3" w14:paraId="1835CCFB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9D855" w14:textId="18F4DF21" w:rsidR="00F67B5E" w:rsidRDefault="00697EC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FDD0401" w14:textId="2D61784C" w:rsidR="00F67B5E" w:rsidRDefault="00262BD1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CEF6D02" w14:textId="02F59D9D" w:rsidR="00F67B5E" w:rsidRDefault="00262BD1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9134E1">
              <w:rPr>
                <w:rFonts w:cs="Arial"/>
                <w:szCs w:val="18"/>
              </w:rPr>
              <w:t>06</w:t>
            </w:r>
          </w:p>
        </w:tc>
      </w:tr>
      <w:tr w:rsidR="00D172B6" w:rsidRPr="005865C3" w14:paraId="7ECD9285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F08DC" w14:textId="77777777" w:rsidR="00D172B6" w:rsidRDefault="00D172B6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99EA" w14:textId="2E12B989" w:rsidR="00D172B6" w:rsidRDefault="00D172B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967A" w14:textId="05E7353E" w:rsidR="00D172B6" w:rsidRDefault="00D172B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0.06</w:t>
            </w:r>
          </w:p>
        </w:tc>
      </w:tr>
      <w:tr w:rsidR="0002276D" w:rsidRPr="005865C3" w14:paraId="0375EABC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0F53" w14:textId="77777777" w:rsidR="0002276D" w:rsidRDefault="0002276D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A983" w14:textId="0986EA5F" w:rsidR="0002276D" w:rsidRDefault="0002276D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CF91" w14:textId="2B078140" w:rsidR="0002276D" w:rsidRDefault="0002276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0.07</w:t>
            </w:r>
          </w:p>
        </w:tc>
      </w:tr>
      <w:tr w:rsidR="0032328C" w:rsidRPr="005865C3" w14:paraId="0C66E940" w14:textId="77777777" w:rsidTr="005C5119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B10C" w14:textId="77777777" w:rsidR="0032328C" w:rsidRDefault="0032328C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F2FA" w14:textId="53EA40D2" w:rsidR="0032328C" w:rsidRDefault="0032328C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1D97" w14:textId="04ADDEC7" w:rsidR="0032328C" w:rsidRDefault="0032328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0.20</w:t>
            </w:r>
          </w:p>
        </w:tc>
      </w:tr>
      <w:tr w:rsidR="005C5119" w:rsidRPr="005865C3" w14:paraId="471EE07A" w14:textId="77777777" w:rsidTr="009908BD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5A79" w14:textId="77777777" w:rsidR="005C5119" w:rsidRDefault="005C5119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A554" w14:textId="000E72A5" w:rsidR="005C5119" w:rsidRDefault="005C5119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6B66" w14:textId="5E659BCE" w:rsidR="005C5119" w:rsidRDefault="005C511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0.3</w:t>
            </w:r>
            <w:r w:rsidR="00DD0729">
              <w:rPr>
                <w:rFonts w:cs="Arial"/>
                <w:szCs w:val="18"/>
              </w:rPr>
              <w:t>2</w:t>
            </w:r>
          </w:p>
        </w:tc>
      </w:tr>
      <w:tr w:rsidR="009908BD" w:rsidRPr="005865C3" w14:paraId="79652A9A" w14:textId="77777777" w:rsidTr="00542719">
        <w:trPr>
          <w:trHeight w:val="342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93A0" w14:textId="77777777" w:rsidR="009908BD" w:rsidRDefault="009908BD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1AE5" w14:textId="2FA54A43" w:rsidR="009908BD" w:rsidRDefault="009908BD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9EC2" w14:textId="02AA6350" w:rsidR="009908BD" w:rsidRDefault="009908B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DD0729">
              <w:rPr>
                <w:rFonts w:cs="Arial"/>
                <w:szCs w:val="18"/>
              </w:rPr>
              <w:t>6</w:t>
            </w:r>
            <w:r w:rsidR="009B2219">
              <w:rPr>
                <w:rFonts w:cs="Arial"/>
                <w:szCs w:val="18"/>
              </w:rPr>
              <w:t>0</w:t>
            </w:r>
          </w:p>
        </w:tc>
      </w:tr>
      <w:tr w:rsidR="00542719" w:rsidRPr="005865C3" w14:paraId="302780EA" w14:textId="77777777" w:rsidTr="00B02330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477D" w14:textId="77777777" w:rsidR="00542719" w:rsidRDefault="00542719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52B1" w14:textId="4E9BC257" w:rsidR="00542719" w:rsidRDefault="00542719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0055" w14:textId="34696EA1" w:rsidR="00542719" w:rsidRDefault="0054271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DD0729">
              <w:rPr>
                <w:rFonts w:cs="Arial"/>
                <w:szCs w:val="18"/>
              </w:rPr>
              <w:t>68</w:t>
            </w:r>
          </w:p>
        </w:tc>
      </w:tr>
      <w:tr w:rsidR="00B02330" w:rsidRPr="005865C3" w14:paraId="04C416A0" w14:textId="77777777" w:rsidTr="004B1F32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DA20" w14:textId="77777777" w:rsidR="00B02330" w:rsidRDefault="00B02330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DB5C" w14:textId="5F7FFC89" w:rsidR="00B02330" w:rsidRDefault="00B02330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3B2E" w14:textId="5D60D950" w:rsidR="00B02330" w:rsidRDefault="00B02330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</w:t>
            </w:r>
            <w:r w:rsidR="009B2219">
              <w:rPr>
                <w:rFonts w:cs="Arial"/>
                <w:szCs w:val="18"/>
              </w:rPr>
              <w:t>9</w:t>
            </w:r>
            <w:r w:rsidR="00DD0729">
              <w:rPr>
                <w:rFonts w:cs="Arial"/>
                <w:szCs w:val="18"/>
              </w:rPr>
              <w:t>1</w:t>
            </w:r>
          </w:p>
        </w:tc>
      </w:tr>
      <w:tr w:rsidR="004B1F32" w:rsidRPr="005865C3" w14:paraId="421E974E" w14:textId="77777777" w:rsidTr="00DD0729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B26F" w14:textId="77777777" w:rsidR="004B1F32" w:rsidRDefault="004B1F32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2689" w14:textId="350B4434" w:rsidR="004B1F32" w:rsidRDefault="004B1F32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4A48" w14:textId="2C262626" w:rsidR="004B1F32" w:rsidRDefault="004B1F32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1.0</w:t>
            </w:r>
            <w:r w:rsidR="00DD0729">
              <w:rPr>
                <w:rFonts w:cs="Arial"/>
                <w:szCs w:val="18"/>
              </w:rPr>
              <w:t>2</w:t>
            </w:r>
          </w:p>
        </w:tc>
      </w:tr>
      <w:tr w:rsidR="00DD0729" w:rsidRPr="005865C3" w14:paraId="5F609AEB" w14:textId="77777777" w:rsidTr="009A3A49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5690" w14:textId="77777777" w:rsidR="00DD0729" w:rsidRDefault="00DD0729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AFF9" w14:textId="67454D56" w:rsidR="00DD0729" w:rsidRDefault="00DD0729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BF3F" w14:textId="12FA1576" w:rsidR="00DD0729" w:rsidRDefault="00DD072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1.09</w:t>
            </w:r>
          </w:p>
        </w:tc>
      </w:tr>
      <w:tr w:rsidR="009A3A49" w:rsidRPr="005865C3" w14:paraId="7C2909F3" w14:textId="77777777" w:rsidTr="00AF13BC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2890" w14:textId="77777777" w:rsidR="009A3A49" w:rsidRDefault="009A3A49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DF39" w14:textId="5194E2FC" w:rsidR="009A3A49" w:rsidRDefault="009A3A49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6F69" w14:textId="187C2A1F" w:rsidR="009A3A49" w:rsidRDefault="009A3A4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1.05</w:t>
            </w:r>
          </w:p>
        </w:tc>
      </w:tr>
      <w:tr w:rsidR="00AF13BC" w:rsidRPr="005865C3" w14:paraId="56568843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CB91" w14:textId="77777777" w:rsidR="00AF13BC" w:rsidRDefault="00AF13BC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7ED2" w14:textId="4E67F397" w:rsidR="00AF13BC" w:rsidRDefault="00AF13BC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35F3" w14:textId="52E09BDB" w:rsidR="00AF13BC" w:rsidRDefault="00AF13B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0.94</w:t>
            </w:r>
          </w:p>
        </w:tc>
      </w:tr>
      <w:tr w:rsidR="00697EC6" w:rsidRPr="005865C3" w14:paraId="52B5D0C4" w14:textId="77777777" w:rsidTr="002A38AE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5017" w14:textId="0E321AA5" w:rsidR="00697EC6" w:rsidRDefault="00697EC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2021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6D94" w14:textId="242A6D9A" w:rsidR="00697EC6" w:rsidRDefault="00697EC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9DD5" w14:textId="0C709689" w:rsidR="00697EC6" w:rsidRDefault="00697EC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0.90</w:t>
            </w:r>
          </w:p>
        </w:tc>
      </w:tr>
      <w:tr w:rsidR="002A38AE" w:rsidRPr="005865C3" w14:paraId="748D95FC" w14:textId="77777777" w:rsidTr="002F57BD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38EF" w14:textId="77777777" w:rsidR="002A38AE" w:rsidRDefault="002A38AE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18D8" w14:textId="41A95E0D" w:rsidR="002A38AE" w:rsidRDefault="002A38AE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DF25" w14:textId="166B8CB6" w:rsidR="002A38AE" w:rsidRDefault="002A38AE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0.86</w:t>
            </w:r>
          </w:p>
        </w:tc>
      </w:tr>
      <w:tr w:rsidR="002F57BD" w:rsidRPr="005865C3" w14:paraId="302FD08C" w14:textId="77777777" w:rsidTr="00C44AAA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ED8F" w14:textId="77777777" w:rsidR="002F57BD" w:rsidRDefault="002F57BD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3015" w14:textId="0F0F5A4C" w:rsidR="002F57BD" w:rsidRDefault="002F57BD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8B1E" w14:textId="023FBA37" w:rsidR="002F57BD" w:rsidRDefault="002F57B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0.79</w:t>
            </w:r>
          </w:p>
        </w:tc>
      </w:tr>
      <w:tr w:rsidR="00C44AAA" w:rsidRPr="005865C3" w14:paraId="56F325A6" w14:textId="77777777" w:rsidTr="00DA6016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4F1C" w14:textId="77777777" w:rsidR="00C44AAA" w:rsidRDefault="00C44AAA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CD9F" w14:textId="19EC25F8" w:rsidR="00C44AAA" w:rsidRDefault="00C44AAA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2EB2" w14:textId="481BAA96" w:rsidR="00C44AAA" w:rsidRDefault="00C44AAA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0.67</w:t>
            </w:r>
          </w:p>
        </w:tc>
      </w:tr>
      <w:tr w:rsidR="00DA6016" w:rsidRPr="005865C3" w14:paraId="62739AA7" w14:textId="77777777" w:rsidTr="00645445">
        <w:trPr>
          <w:trHeight w:val="288"/>
        </w:trPr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7672" w14:textId="77777777" w:rsidR="00DA6016" w:rsidRDefault="00DA6016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C743" w14:textId="117F3F62" w:rsidR="00DA6016" w:rsidRDefault="00DA6016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12A1" w14:textId="290D180A" w:rsidR="00DA6016" w:rsidRDefault="00DA601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0.58</w:t>
            </w:r>
          </w:p>
        </w:tc>
      </w:tr>
      <w:tr w:rsidR="00645445" w:rsidRPr="005865C3" w14:paraId="321AEF0D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4736" w14:textId="77777777" w:rsidR="00645445" w:rsidRDefault="00645445" w:rsidP="00DC419F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BB8F" w14:textId="1115A2EE" w:rsidR="00645445" w:rsidRDefault="00645445" w:rsidP="00DC419F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27BA" w14:textId="010C9F88" w:rsidR="00645445" w:rsidRDefault="00645445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0.53</w:t>
            </w:r>
          </w:p>
        </w:tc>
      </w:tr>
      <w:tr w:rsidR="00DC419F" w:rsidRPr="005865C3" w14:paraId="59EFA588" w14:textId="77777777" w:rsidTr="00D172B6">
        <w:trPr>
          <w:trHeight w:val="288"/>
        </w:trPr>
        <w:tc>
          <w:tcPr>
            <w:tcW w:w="47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26C6E5" w14:textId="5BDA2766" w:rsidR="00DC419F" w:rsidRDefault="00DC419F" w:rsidP="00DC419F">
            <w:pPr>
              <w:autoSpaceDE/>
              <w:autoSpaceDN/>
              <w:spacing w:before="4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5865C3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a</w:t>
            </w:r>
            <w:r w:rsidRPr="005865C3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865C3">
              <w:rPr>
                <w:rFonts w:eastAsia="Times New Roman" w:cs="Arial"/>
                <w:color w:val="000000"/>
                <w:sz w:val="16"/>
                <w:szCs w:val="16"/>
              </w:rPr>
              <w:t>The</w:t>
            </w:r>
            <w:proofErr w:type="gramEnd"/>
            <w:r w:rsidRPr="005865C3">
              <w:rPr>
                <w:rFonts w:eastAsia="Times New Roman" w:cs="Arial"/>
                <w:color w:val="000000"/>
                <w:sz w:val="16"/>
                <w:szCs w:val="16"/>
              </w:rPr>
              <w:t xml:space="preserve"> percentage of the total outstanding balance of FHA-insured multifamily loans that are 60 days or more past due.</w:t>
            </w:r>
          </w:p>
          <w:p w14:paraId="5B2656E2" w14:textId="3149B8AA" w:rsidR="00602570" w:rsidRPr="00602570" w:rsidRDefault="00602570" w:rsidP="0060257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NOTE: </w:t>
            </w:r>
            <w:r w:rsidR="008A366D" w:rsidRPr="004365BF">
              <w:rPr>
                <w:rFonts w:cs="Arial"/>
                <w:sz w:val="16"/>
                <w:szCs w:val="16"/>
              </w:rPr>
              <w:t xml:space="preserve">The previously reported MF default </w:t>
            </w:r>
            <w:r w:rsidR="008A366D">
              <w:rPr>
                <w:rFonts w:cs="Arial"/>
                <w:sz w:val="16"/>
                <w:szCs w:val="16"/>
              </w:rPr>
              <w:t>data</w:t>
            </w:r>
            <w:r w:rsidR="008A366D" w:rsidRPr="004365BF">
              <w:rPr>
                <w:rFonts w:cs="Arial"/>
                <w:sz w:val="16"/>
                <w:szCs w:val="16"/>
              </w:rPr>
              <w:t xml:space="preserve"> may have changed because we now </w:t>
            </w:r>
            <w:r w:rsidR="008A366D">
              <w:rPr>
                <w:rFonts w:cs="Arial"/>
                <w:sz w:val="16"/>
                <w:szCs w:val="16"/>
              </w:rPr>
              <w:t>consider</w:t>
            </w:r>
            <w:r w:rsidR="008A366D" w:rsidRPr="004365BF">
              <w:rPr>
                <w:rFonts w:cs="Arial"/>
                <w:sz w:val="16"/>
                <w:szCs w:val="16"/>
              </w:rPr>
              <w:t xml:space="preserve"> the </w:t>
            </w:r>
            <w:r w:rsidR="008A366D">
              <w:rPr>
                <w:rFonts w:cs="Arial"/>
                <w:sz w:val="16"/>
                <w:szCs w:val="16"/>
              </w:rPr>
              <w:t xml:space="preserve">CARES Act </w:t>
            </w:r>
            <w:r w:rsidR="008A366D" w:rsidRPr="004365BF">
              <w:rPr>
                <w:rFonts w:cs="Arial"/>
                <w:sz w:val="16"/>
                <w:szCs w:val="16"/>
              </w:rPr>
              <w:t>forbearance exit date.</w:t>
            </w:r>
          </w:p>
          <w:p w14:paraId="1EA924A6" w14:textId="40B95A3E" w:rsidR="00DC419F" w:rsidRPr="005865C3" w:rsidRDefault="004F0924" w:rsidP="00DC419F">
            <w:pPr>
              <w:autoSpaceDE/>
              <w:autoSpaceDN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18014803" w14:textId="77777777" w:rsidR="002A7F3C" w:rsidRDefault="002A7F3C" w:rsidP="005865C3">
      <w:pPr>
        <w:jc w:val="center"/>
      </w:pPr>
    </w:p>
    <w:p w14:paraId="7E4F7211" w14:textId="77777777" w:rsidR="00CC0138" w:rsidRDefault="00CC0138" w:rsidP="005865C3">
      <w:pPr>
        <w:jc w:val="center"/>
      </w:pPr>
    </w:p>
    <w:p w14:paraId="1FDFFB51" w14:textId="77777777" w:rsidR="00CC0138" w:rsidRDefault="00CC0138" w:rsidP="005865C3">
      <w:pPr>
        <w:jc w:val="center"/>
      </w:pPr>
    </w:p>
    <w:p w14:paraId="4BBC99BC" w14:textId="77777777" w:rsidR="00CC0138" w:rsidRDefault="00CC0138" w:rsidP="005865C3">
      <w:pPr>
        <w:jc w:val="center"/>
      </w:pPr>
    </w:p>
    <w:p w14:paraId="6C9B4BBA" w14:textId="77777777" w:rsidR="00CC0138" w:rsidRDefault="00CC0138" w:rsidP="005865C3">
      <w:pPr>
        <w:jc w:val="center"/>
      </w:pPr>
    </w:p>
    <w:p w14:paraId="69763A2D" w14:textId="77777777" w:rsidR="00CC0138" w:rsidRDefault="00CC0138" w:rsidP="005865C3">
      <w:pPr>
        <w:jc w:val="center"/>
      </w:pPr>
    </w:p>
    <w:p w14:paraId="3B5B6C14" w14:textId="77777777" w:rsidR="00CC0138" w:rsidRDefault="00CC0138" w:rsidP="005865C3">
      <w:pPr>
        <w:jc w:val="center"/>
      </w:pPr>
    </w:p>
    <w:p w14:paraId="755917D3" w14:textId="77777777" w:rsidR="00CC0138" w:rsidRDefault="00CC0138" w:rsidP="005865C3">
      <w:pPr>
        <w:jc w:val="center"/>
      </w:pPr>
    </w:p>
    <w:p w14:paraId="2C045576" w14:textId="77777777" w:rsidR="00CC0138" w:rsidRDefault="00CC0138" w:rsidP="005865C3">
      <w:pPr>
        <w:jc w:val="center"/>
      </w:pPr>
    </w:p>
    <w:p w14:paraId="297D631A" w14:textId="77777777" w:rsidR="00CC0138" w:rsidRDefault="00CC0138" w:rsidP="005865C3">
      <w:pPr>
        <w:jc w:val="center"/>
      </w:pPr>
    </w:p>
    <w:p w14:paraId="6C480043" w14:textId="77777777" w:rsidR="00CC0138" w:rsidRDefault="00CC0138" w:rsidP="005865C3">
      <w:pPr>
        <w:jc w:val="center"/>
      </w:pPr>
    </w:p>
    <w:p w14:paraId="086220D2" w14:textId="77777777" w:rsidR="00CC0138" w:rsidRDefault="00CC0138" w:rsidP="005865C3">
      <w:pPr>
        <w:jc w:val="center"/>
      </w:pPr>
    </w:p>
    <w:p w14:paraId="6CD8EBAD" w14:textId="77777777" w:rsidR="00CC0138" w:rsidRDefault="00CC0138" w:rsidP="005865C3">
      <w:pPr>
        <w:jc w:val="center"/>
      </w:pPr>
    </w:p>
    <w:p w14:paraId="30ABFAFC" w14:textId="77777777" w:rsidR="00CC0138" w:rsidRDefault="00CC0138" w:rsidP="005865C3">
      <w:pPr>
        <w:jc w:val="center"/>
      </w:pPr>
    </w:p>
    <w:p w14:paraId="32DC2C5B" w14:textId="77777777" w:rsidR="00CC0138" w:rsidRDefault="00CC0138" w:rsidP="005865C3">
      <w:pPr>
        <w:jc w:val="center"/>
      </w:pPr>
    </w:p>
    <w:p w14:paraId="2FDED4C2" w14:textId="77777777" w:rsidR="00CC0138" w:rsidRDefault="00CC0138" w:rsidP="005865C3">
      <w:pPr>
        <w:jc w:val="center"/>
      </w:pPr>
    </w:p>
    <w:p w14:paraId="7247F979" w14:textId="77777777" w:rsidR="00CC0138" w:rsidRDefault="00CC0138" w:rsidP="005865C3">
      <w:pPr>
        <w:jc w:val="center"/>
      </w:pPr>
    </w:p>
    <w:p w14:paraId="35DD5310" w14:textId="77777777" w:rsidR="00CC0138" w:rsidRDefault="00CC0138" w:rsidP="005865C3">
      <w:pPr>
        <w:jc w:val="center"/>
      </w:pPr>
    </w:p>
    <w:p w14:paraId="500012E2" w14:textId="77777777" w:rsidR="00CC0138" w:rsidRDefault="00CC0138" w:rsidP="005865C3">
      <w:pPr>
        <w:jc w:val="center"/>
      </w:pPr>
    </w:p>
    <w:p w14:paraId="38045132" w14:textId="77777777" w:rsidR="00CC0138" w:rsidRDefault="00CC0138" w:rsidP="005865C3">
      <w:pPr>
        <w:jc w:val="center"/>
      </w:pPr>
    </w:p>
    <w:p w14:paraId="0E0847B0" w14:textId="77777777" w:rsidR="00CC0138" w:rsidRDefault="00CC0138" w:rsidP="005865C3">
      <w:pPr>
        <w:jc w:val="center"/>
      </w:pPr>
    </w:p>
    <w:p w14:paraId="619D9C90" w14:textId="77777777" w:rsidR="00CC0138" w:rsidRDefault="00CC0138" w:rsidP="005865C3">
      <w:pPr>
        <w:jc w:val="center"/>
      </w:pPr>
    </w:p>
    <w:p w14:paraId="7A1301F9" w14:textId="77777777" w:rsidR="00CC0138" w:rsidRDefault="00CC0138" w:rsidP="005865C3">
      <w:pPr>
        <w:jc w:val="center"/>
      </w:pPr>
    </w:p>
    <w:p w14:paraId="11219EBC" w14:textId="77777777" w:rsidR="00CC0138" w:rsidRDefault="00CC0138" w:rsidP="005865C3">
      <w:pPr>
        <w:jc w:val="center"/>
      </w:pPr>
    </w:p>
    <w:p w14:paraId="328A1EB2" w14:textId="77777777" w:rsidR="00CC0138" w:rsidRDefault="00CC0138" w:rsidP="005865C3">
      <w:pPr>
        <w:jc w:val="center"/>
      </w:pPr>
    </w:p>
    <w:p w14:paraId="5DACD168" w14:textId="77777777" w:rsidR="00CC0138" w:rsidRDefault="00CC0138" w:rsidP="005865C3">
      <w:pPr>
        <w:jc w:val="center"/>
      </w:pPr>
    </w:p>
    <w:p w14:paraId="40E9FAAC" w14:textId="77777777" w:rsidR="00CC0138" w:rsidRDefault="00CC0138" w:rsidP="005865C3">
      <w:pPr>
        <w:jc w:val="center"/>
      </w:pPr>
    </w:p>
    <w:p w14:paraId="6FA16664" w14:textId="77777777" w:rsidR="00CC0138" w:rsidRDefault="00CC0138" w:rsidP="005865C3">
      <w:pPr>
        <w:jc w:val="center"/>
      </w:pPr>
    </w:p>
    <w:p w14:paraId="00B877D1" w14:textId="77777777" w:rsidR="00CC0138" w:rsidRDefault="00CC0138" w:rsidP="005865C3">
      <w:pPr>
        <w:jc w:val="center"/>
      </w:pPr>
    </w:p>
    <w:p w14:paraId="0C4C23CF" w14:textId="77777777" w:rsidR="00CC0138" w:rsidRDefault="00CC0138" w:rsidP="005865C3">
      <w:pPr>
        <w:jc w:val="center"/>
      </w:pPr>
    </w:p>
    <w:p w14:paraId="75162D90" w14:textId="77777777" w:rsidR="00CC0138" w:rsidRDefault="00CC0138" w:rsidP="005865C3">
      <w:pPr>
        <w:jc w:val="center"/>
      </w:pPr>
    </w:p>
    <w:p w14:paraId="7A02AA6B" w14:textId="77777777" w:rsidR="00CC0138" w:rsidRDefault="00CC0138" w:rsidP="005865C3">
      <w:pPr>
        <w:jc w:val="center"/>
      </w:pPr>
    </w:p>
    <w:p w14:paraId="5F4055FD" w14:textId="77777777" w:rsidR="00CC0138" w:rsidRDefault="00CC0138" w:rsidP="005865C3">
      <w:pPr>
        <w:jc w:val="center"/>
      </w:pPr>
    </w:p>
    <w:p w14:paraId="3DA713AF" w14:textId="77777777" w:rsidR="00CC0138" w:rsidRDefault="00CC0138" w:rsidP="005865C3">
      <w:pPr>
        <w:jc w:val="center"/>
      </w:pPr>
      <w:bookmarkStart w:id="11" w:name="_GoBack"/>
      <w:bookmarkEnd w:id="11"/>
    </w:p>
    <w:p w14:paraId="318C7ABE" w14:textId="77777777" w:rsidR="00CC0138" w:rsidRDefault="00CC0138" w:rsidP="005865C3">
      <w:pPr>
        <w:jc w:val="center"/>
      </w:pPr>
    </w:p>
    <w:p w14:paraId="3F1F1F6E" w14:textId="77777777" w:rsidR="00CC0138" w:rsidRDefault="00CC0138" w:rsidP="005865C3">
      <w:pPr>
        <w:jc w:val="center"/>
      </w:pPr>
    </w:p>
    <w:p w14:paraId="7B16F2E1" w14:textId="77777777" w:rsidR="00CC0138" w:rsidRDefault="00CC0138" w:rsidP="005865C3">
      <w:pPr>
        <w:jc w:val="center"/>
      </w:pPr>
    </w:p>
    <w:p w14:paraId="0FCD579C" w14:textId="77777777" w:rsidR="00CC0138" w:rsidRDefault="00CC0138" w:rsidP="005865C3">
      <w:pPr>
        <w:jc w:val="center"/>
      </w:pPr>
    </w:p>
    <w:p w14:paraId="3C8037A4" w14:textId="77777777" w:rsidR="00CC0138" w:rsidRDefault="00CC0138" w:rsidP="005865C3">
      <w:pPr>
        <w:jc w:val="center"/>
      </w:pPr>
    </w:p>
    <w:p w14:paraId="37E78585" w14:textId="77777777" w:rsidR="00CC0138" w:rsidRDefault="00CC0138" w:rsidP="005865C3">
      <w:pPr>
        <w:jc w:val="center"/>
      </w:pPr>
    </w:p>
    <w:p w14:paraId="5D87A906" w14:textId="77777777" w:rsidR="00CC0138" w:rsidRDefault="00CC0138" w:rsidP="005865C3">
      <w:pPr>
        <w:jc w:val="center"/>
      </w:pPr>
    </w:p>
    <w:p w14:paraId="2C1C3137" w14:textId="77777777" w:rsidR="00CC0138" w:rsidRDefault="00CC0138" w:rsidP="005865C3">
      <w:pPr>
        <w:jc w:val="center"/>
      </w:pPr>
    </w:p>
    <w:p w14:paraId="14E839F4" w14:textId="77777777" w:rsidR="00CC0138" w:rsidRDefault="00CC0138" w:rsidP="005865C3">
      <w:pPr>
        <w:jc w:val="center"/>
      </w:pPr>
    </w:p>
    <w:p w14:paraId="334179FD" w14:textId="77777777" w:rsidR="00CC0138" w:rsidRDefault="00CC0138" w:rsidP="005865C3">
      <w:pPr>
        <w:jc w:val="center"/>
      </w:pPr>
    </w:p>
    <w:p w14:paraId="60101D84" w14:textId="77777777" w:rsidR="00CC0138" w:rsidRDefault="00CC0138" w:rsidP="005865C3">
      <w:pPr>
        <w:jc w:val="center"/>
      </w:pPr>
    </w:p>
    <w:p w14:paraId="4700911F" w14:textId="77777777" w:rsidR="00CC0138" w:rsidRDefault="00CC0138" w:rsidP="005865C3">
      <w:pPr>
        <w:jc w:val="center"/>
      </w:pPr>
    </w:p>
    <w:p w14:paraId="6012D227" w14:textId="77777777" w:rsidR="00CC0138" w:rsidRDefault="00CC0138" w:rsidP="005865C3">
      <w:pPr>
        <w:jc w:val="center"/>
      </w:pPr>
    </w:p>
    <w:p w14:paraId="3D86F730" w14:textId="77777777" w:rsidR="00CC0138" w:rsidRDefault="00CC0138" w:rsidP="005865C3">
      <w:pPr>
        <w:jc w:val="center"/>
      </w:pPr>
    </w:p>
    <w:p w14:paraId="2429C7F0" w14:textId="77777777" w:rsidR="00CC0138" w:rsidRDefault="00CC0138" w:rsidP="005865C3">
      <w:pPr>
        <w:jc w:val="center"/>
      </w:pPr>
    </w:p>
    <w:p w14:paraId="6C6639CE" w14:textId="77777777" w:rsidR="00CC0138" w:rsidRDefault="00CC0138" w:rsidP="005865C3">
      <w:pPr>
        <w:jc w:val="center"/>
      </w:pPr>
    </w:p>
    <w:p w14:paraId="15B2B4F0" w14:textId="77777777" w:rsidR="00CC0138" w:rsidRDefault="00CC0138" w:rsidP="005865C3">
      <w:pPr>
        <w:jc w:val="center"/>
      </w:pPr>
    </w:p>
    <w:p w14:paraId="7B73E835" w14:textId="77777777" w:rsidR="00CC0138" w:rsidRDefault="00CC0138" w:rsidP="005865C3">
      <w:pPr>
        <w:jc w:val="center"/>
      </w:pPr>
    </w:p>
    <w:p w14:paraId="26056C76" w14:textId="77777777" w:rsidR="00CC0138" w:rsidRDefault="00CC0138" w:rsidP="005865C3">
      <w:pPr>
        <w:jc w:val="center"/>
      </w:pPr>
    </w:p>
    <w:p w14:paraId="6AE35724" w14:textId="77777777" w:rsidR="00CC0138" w:rsidRDefault="00CC0138" w:rsidP="005865C3">
      <w:pPr>
        <w:jc w:val="center"/>
      </w:pPr>
    </w:p>
    <w:p w14:paraId="56CC8F5B" w14:textId="77777777" w:rsidR="00CC0138" w:rsidRDefault="00CC0138" w:rsidP="005865C3">
      <w:pPr>
        <w:jc w:val="center"/>
      </w:pPr>
    </w:p>
    <w:p w14:paraId="40992E64" w14:textId="77777777" w:rsidR="00CC0138" w:rsidRDefault="00CC0138" w:rsidP="005865C3">
      <w:pPr>
        <w:jc w:val="center"/>
      </w:pPr>
    </w:p>
    <w:p w14:paraId="3446AC41" w14:textId="77777777" w:rsidR="00CC0138" w:rsidRDefault="00CC0138" w:rsidP="005865C3">
      <w:pPr>
        <w:jc w:val="center"/>
      </w:pPr>
    </w:p>
    <w:p w14:paraId="1C09962D" w14:textId="164B042B" w:rsidR="00CC0138" w:rsidRDefault="00CC0138" w:rsidP="00EF1C86">
      <w:pPr>
        <w:sectPr w:rsidR="00CC0138" w:rsidSect="00744218"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p w14:paraId="6D303CF0" w14:textId="20CB53A1" w:rsidR="00931B19" w:rsidRPr="007A2C1A" w:rsidRDefault="00931B19" w:rsidP="00931B19">
      <w:pPr>
        <w:pStyle w:val="Caption"/>
        <w:keepNext/>
        <w:jc w:val="center"/>
        <w:rPr>
          <w:rFonts w:cs="Arial"/>
          <w:b/>
          <w:i w:val="0"/>
          <w:color w:val="auto"/>
          <w:sz w:val="20"/>
          <w:szCs w:val="20"/>
        </w:rPr>
      </w:pPr>
      <w:bookmarkStart w:id="12" w:name="_Toc512950736"/>
      <w:r w:rsidRPr="007A2C1A">
        <w:rPr>
          <w:rFonts w:cs="Arial"/>
          <w:b/>
          <w:i w:val="0"/>
          <w:color w:val="auto"/>
          <w:sz w:val="20"/>
          <w:szCs w:val="20"/>
        </w:rPr>
        <w:lastRenderedPageBreak/>
        <w:t xml:space="preserve">Figure </w: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7A2C1A">
        <w:rPr>
          <w:rFonts w:cs="Arial"/>
          <w:b/>
          <w:i w:val="0"/>
          <w:color w:val="auto"/>
          <w:sz w:val="20"/>
          <w:szCs w:val="20"/>
        </w:rPr>
        <w:instrText xml:space="preserve"> SEQ Figure \* ARABIC </w:instrTex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="00E3436F">
        <w:rPr>
          <w:rFonts w:cs="Arial"/>
          <w:b/>
          <w:i w:val="0"/>
          <w:noProof/>
          <w:color w:val="auto"/>
          <w:sz w:val="20"/>
          <w:szCs w:val="20"/>
        </w:rPr>
        <w:t>4</w: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7A2C1A">
        <w:rPr>
          <w:rFonts w:cs="Arial"/>
          <w:b/>
          <w:i w:val="0"/>
          <w:color w:val="auto"/>
          <w:sz w:val="20"/>
          <w:szCs w:val="20"/>
        </w:rPr>
        <w:t>:</w:t>
      </w:r>
      <w:r w:rsidR="005037AD" w:rsidRPr="005037AD">
        <w:t xml:space="preserve"> </w:t>
      </w:r>
      <w:r w:rsidR="005037AD" w:rsidRPr="005037AD">
        <w:rPr>
          <w:rFonts w:cs="Arial"/>
          <w:b/>
          <w:i w:val="0"/>
          <w:color w:val="auto"/>
          <w:sz w:val="20"/>
          <w:szCs w:val="20"/>
        </w:rPr>
        <w:t>FHA Multifamily Apartments</w:t>
      </w:r>
      <w:r w:rsidRPr="007A2C1A">
        <w:rPr>
          <w:rFonts w:cs="Arial"/>
          <w:b/>
          <w:i w:val="0"/>
          <w:color w:val="auto"/>
          <w:sz w:val="20"/>
          <w:szCs w:val="20"/>
        </w:rPr>
        <w:t xml:space="preserve"> Default UPB and Count</w:t>
      </w:r>
      <w:r w:rsidR="009E5156">
        <w:rPr>
          <w:rFonts w:cs="Arial"/>
          <w:b/>
          <w:i w:val="0"/>
          <w:color w:val="auto"/>
          <w:sz w:val="20"/>
          <w:szCs w:val="20"/>
        </w:rPr>
        <w:t>,</w:t>
      </w:r>
      <w:r>
        <w:rPr>
          <w:rFonts w:cs="Arial"/>
          <w:b/>
          <w:i w:val="0"/>
          <w:color w:val="auto"/>
          <w:sz w:val="20"/>
          <w:szCs w:val="20"/>
        </w:rPr>
        <w:t xml:space="preserve"> Last 2 Years</w:t>
      </w:r>
      <w:bookmarkEnd w:id="12"/>
    </w:p>
    <w:p w14:paraId="5C8DAAED" w14:textId="24CC42DA" w:rsidR="00035875" w:rsidRPr="00903286" w:rsidRDefault="0019752D" w:rsidP="00903286">
      <w:pPr>
        <w:autoSpaceDE/>
        <w:autoSpaceDN/>
        <w:spacing w:after="200" w:line="276" w:lineRule="auto"/>
        <w:rPr>
          <w:rFonts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B2D6B07" wp14:editId="2041732D">
            <wp:extent cx="6858000" cy="41148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91B050-45B0-46D3-9F3E-E6402EF0AE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31B19">
        <w:rPr>
          <w:color w:val="000000"/>
          <w:sz w:val="16"/>
          <w:szCs w:val="16"/>
        </w:rPr>
        <w:br/>
      </w:r>
      <w:r w:rsidR="00C1600F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903286">
        <w:rPr>
          <w:rFonts w:cs="Arial"/>
          <w:color w:val="000000"/>
          <w:sz w:val="16"/>
          <w:szCs w:val="16"/>
        </w:rPr>
        <w:t xml:space="preserve">                                             </w:t>
      </w:r>
      <w:bookmarkStart w:id="13" w:name="_Hlk53561667"/>
      <w:r w:rsidR="00903286">
        <w:rPr>
          <w:rFonts w:cs="Arial"/>
          <w:sz w:val="16"/>
          <w:szCs w:val="16"/>
        </w:rPr>
        <w:t xml:space="preserve">NOTE: </w:t>
      </w:r>
      <w:bookmarkEnd w:id="13"/>
      <w:r w:rsidR="008A366D" w:rsidRPr="004365BF">
        <w:rPr>
          <w:rFonts w:cs="Arial"/>
          <w:sz w:val="16"/>
          <w:szCs w:val="16"/>
        </w:rPr>
        <w:t xml:space="preserve">The previously reported MF default </w:t>
      </w:r>
      <w:r w:rsidR="008A366D">
        <w:rPr>
          <w:rFonts w:cs="Arial"/>
          <w:sz w:val="16"/>
          <w:szCs w:val="16"/>
        </w:rPr>
        <w:t>data</w:t>
      </w:r>
      <w:r w:rsidR="008A366D" w:rsidRPr="004365BF">
        <w:rPr>
          <w:rFonts w:cs="Arial"/>
          <w:sz w:val="16"/>
          <w:szCs w:val="16"/>
        </w:rPr>
        <w:t xml:space="preserve"> may have changed because we now </w:t>
      </w:r>
      <w:r w:rsidR="008A366D">
        <w:rPr>
          <w:rFonts w:cs="Arial"/>
          <w:sz w:val="16"/>
          <w:szCs w:val="16"/>
        </w:rPr>
        <w:t>consider</w:t>
      </w:r>
      <w:r w:rsidR="008A366D" w:rsidRPr="004365BF">
        <w:rPr>
          <w:rFonts w:cs="Arial"/>
          <w:sz w:val="16"/>
          <w:szCs w:val="16"/>
        </w:rPr>
        <w:t xml:space="preserve"> the </w:t>
      </w:r>
      <w:r w:rsidR="008A366D">
        <w:rPr>
          <w:rFonts w:cs="Arial"/>
          <w:sz w:val="16"/>
          <w:szCs w:val="16"/>
        </w:rPr>
        <w:t xml:space="preserve">CARES Act </w:t>
      </w:r>
      <w:r w:rsidR="008A366D" w:rsidRPr="004365BF">
        <w:rPr>
          <w:rFonts w:cs="Arial"/>
          <w:sz w:val="16"/>
          <w:szCs w:val="16"/>
        </w:rPr>
        <w:t>forbearance exit date</w:t>
      </w:r>
      <w:r w:rsidR="008A366D">
        <w:rPr>
          <w:rFonts w:cs="Arial"/>
          <w:sz w:val="16"/>
          <w:szCs w:val="16"/>
        </w:rPr>
        <w:t>.</w:t>
      </w:r>
      <w:r w:rsidR="00C1600F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6EDBAB62" w14:textId="25430C7F" w:rsidR="00FD2C8A" w:rsidRDefault="00035875" w:rsidP="001C42B0">
      <w:pPr>
        <w:autoSpaceDE/>
        <w:autoSpaceDN/>
        <w:spacing w:after="200"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56"/>
        <w:gridCol w:w="2304"/>
        <w:gridCol w:w="2304"/>
      </w:tblGrid>
      <w:tr w:rsidR="000B2033" w:rsidRPr="000B2033" w14:paraId="64FBFB24" w14:textId="77777777" w:rsidTr="002403FC">
        <w:trPr>
          <w:cantSplit/>
          <w:trHeight w:val="576"/>
          <w:tblHeader/>
          <w:jc w:val="center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6531" w14:textId="77777777" w:rsidR="000B2033" w:rsidRPr="000B2033" w:rsidRDefault="000B2033" w:rsidP="00274397">
            <w:pPr>
              <w:pStyle w:val="Heading1"/>
            </w:pPr>
            <w:bookmarkStart w:id="14" w:name="_Toc512950703"/>
            <w:r w:rsidRPr="000B2033">
              <w:lastRenderedPageBreak/>
              <w:t xml:space="preserve">Table </w:t>
            </w:r>
            <w:r>
              <w:t>4</w:t>
            </w:r>
            <w:r w:rsidRPr="000B2033">
              <w:t xml:space="preserve">. FHA Residential Care </w:t>
            </w:r>
            <w:r w:rsidRPr="00274397">
              <w:t>Facilities</w:t>
            </w:r>
            <w:r w:rsidRPr="000B2033">
              <w:t xml:space="preserve"> Insured Portfolio, Transitions within Portfolio</w:t>
            </w:r>
            <w:bookmarkEnd w:id="14"/>
          </w:p>
        </w:tc>
      </w:tr>
      <w:tr w:rsidR="002403FC" w:rsidRPr="000B2033" w14:paraId="681B6C3F" w14:textId="77777777" w:rsidTr="002403FC">
        <w:trPr>
          <w:cantSplit/>
          <w:trHeight w:val="432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DE74F6" w14:textId="77777777" w:rsidR="002403FC" w:rsidRPr="000B2033" w:rsidRDefault="002403FC" w:rsidP="000B2033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 w:rsidRPr="000B2033">
              <w:rPr>
                <w:rFonts w:cs="Arial"/>
                <w:b/>
                <w:bCs/>
                <w:color w:val="000000"/>
                <w:szCs w:val="18"/>
              </w:rPr>
              <w:t>Insured Portfolio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39D5E3" w14:textId="77777777" w:rsidR="002403FC" w:rsidRPr="000B2033" w:rsidRDefault="002403FC" w:rsidP="00AE31DD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3B1C" w14:textId="77777777" w:rsidR="002403FC" w:rsidRPr="000B2033" w:rsidRDefault="002403FC" w:rsidP="00AE31DD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2403FC">
              <w:rPr>
                <w:rFonts w:cs="Arial"/>
                <w:color w:val="000000"/>
                <w:szCs w:val="18"/>
              </w:rPr>
              <w:t>Loan Balance ($ millions)</w:t>
            </w:r>
          </w:p>
        </w:tc>
      </w:tr>
      <w:tr w:rsidR="00645445" w:rsidRPr="000B2033" w14:paraId="3D5C3575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F14AD3C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Insurance in Force (Beginning)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746DCC4" w14:textId="732C14C5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3,851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49042B6" w14:textId="2DC01C0E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33,000.4</w:t>
            </w:r>
          </w:p>
        </w:tc>
      </w:tr>
      <w:tr w:rsidR="00645445" w:rsidRPr="000B2033" w14:paraId="78ABD323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7B8E37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Terminations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0B9D1C" w14:textId="4BCCFE9D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(77)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8971FCE" w14:textId="3D2419C5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(521.4)</w:t>
            </w:r>
          </w:p>
        </w:tc>
      </w:tr>
      <w:tr w:rsidR="00645445" w:rsidRPr="000B2033" w14:paraId="47818912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2CFD37B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Claims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9F119EF" w14:textId="1067E27A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17CB03B" w14:textId="40B9FD8A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(13.0)</w:t>
            </w:r>
          </w:p>
        </w:tc>
      </w:tr>
      <w:tr w:rsidR="00645445" w:rsidRPr="000B2033" w14:paraId="27DC66AA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F7455E0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Regular Claim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D0F4027" w14:textId="551853AE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1CE07A" w14:textId="73593607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(13.0)</w:t>
            </w:r>
          </w:p>
        </w:tc>
      </w:tr>
      <w:tr w:rsidR="00645445" w:rsidRPr="000B2033" w14:paraId="14C450C1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D5B4007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Mark to Market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B43631" w14:textId="3B6E44B9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C8FD3FC" w14:textId="4B2097A5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579EC868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A5AA64C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Partial Payment Claim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2AA9591" w14:textId="416F97EC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5389AFE" w14:textId="0FF202B1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0E7876CC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17B1839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Maturity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A5CFF66" w14:textId="777540F2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BECAD8" w14:textId="68CE3417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0A714D4B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E7217AC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Prepayment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A02F7BA" w14:textId="2FFCC408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(35)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EE67709" w14:textId="0A97982D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(136.4)</w:t>
            </w:r>
          </w:p>
        </w:tc>
      </w:tr>
      <w:tr w:rsidR="00645445" w:rsidRPr="000B2033" w14:paraId="648BFBEF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7AEF27D" w14:textId="77777777" w:rsidR="00645445" w:rsidRPr="00111FE4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111FE4">
              <w:rPr>
                <w:rFonts w:cs="Arial"/>
                <w:color w:val="000000"/>
                <w:szCs w:val="18"/>
              </w:rPr>
              <w:t>Refinanced with FHA Loans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D9980BF" w14:textId="77A87C2D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(40)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ED0957" w14:textId="3885A9EC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(372.1)</w:t>
            </w:r>
          </w:p>
        </w:tc>
      </w:tr>
      <w:tr w:rsidR="00645445" w:rsidRPr="000B2033" w14:paraId="31137896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94CFBE7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Endorsements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968C554" w14:textId="47120165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366FD62" w14:textId="758A65EF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484.4</w:t>
            </w:r>
          </w:p>
        </w:tc>
      </w:tr>
      <w:tr w:rsidR="00645445" w:rsidRPr="000B2033" w14:paraId="42653036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305E01E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Business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373BFA2" w14:textId="09E7F0DE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A8B7070" w14:textId="5E76211A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9DFB0E9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EF751F2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223(d)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a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10F91F3" w14:textId="6D1FA8A1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5ED35F" w14:textId="5BA949B0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212173EC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592CCD7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New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Construction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BC900B0" w14:textId="3910B787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2C3CB3" w14:textId="0DEF9C92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4991C796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B68F6DC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c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0C66" w14:textId="52FEA4BF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F8F5A8E" w14:textId="276CACBE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2150B942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8A2A2B3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Refinance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248ABBC" w14:textId="1BF42542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F104C5" w14:textId="19A81CDA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484.4</w:t>
            </w:r>
          </w:p>
        </w:tc>
      </w:tr>
      <w:tr w:rsidR="00645445" w:rsidRPr="000B2033" w14:paraId="301A22D3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0DFDB97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223(d)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a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6F7F5B1" w14:textId="5B5F929C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19945DE" w14:textId="154B69A6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4C23163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5B6D5EF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Refinance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23A3780" w14:textId="499C8876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E6FDEC7" w14:textId="54A3C00F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484.4</w:t>
            </w:r>
          </w:p>
        </w:tc>
      </w:tr>
      <w:tr w:rsidR="00645445" w:rsidRPr="000B2033" w14:paraId="4B399474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8EDA38A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FA7D9A6" w14:textId="482E2B73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5557A16" w14:textId="42E4266F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(66.1)</w:t>
            </w:r>
          </w:p>
        </w:tc>
      </w:tr>
      <w:tr w:rsidR="00645445" w:rsidRPr="000B2033" w14:paraId="6A9A157E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B0106A5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Insurance in Force (Ending)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68E658" w14:textId="231F0D6B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3,825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059A84A" w14:textId="6B8967B5" w:rsidR="00645445" w:rsidRPr="008C7F6C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32,897.3</w:t>
            </w:r>
          </w:p>
        </w:tc>
      </w:tr>
      <w:tr w:rsidR="00AF13BC" w:rsidRPr="000B2033" w14:paraId="57FDDA6D" w14:textId="77777777" w:rsidTr="00AF13BC">
        <w:trPr>
          <w:cantSplit/>
          <w:trHeight w:val="432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14:paraId="34377138" w14:textId="77777777" w:rsidR="00AF13BC" w:rsidRPr="000B2033" w:rsidRDefault="00AF13BC" w:rsidP="00AF13BC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 w:rsidRPr="000B2033">
              <w:rPr>
                <w:rFonts w:cs="Arial"/>
                <w:b/>
                <w:bCs/>
                <w:color w:val="000000"/>
                <w:szCs w:val="18"/>
              </w:rPr>
              <w:t>Defaults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F4124" w14:textId="2060C0DE" w:rsidR="00AF13BC" w:rsidRPr="000D77F0" w:rsidRDefault="00AF13BC" w:rsidP="00AF13BC">
            <w:pPr>
              <w:jc w:val="right"/>
              <w:rPr>
                <w:rFonts w:cs="Arial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2ED13" w14:textId="5087917B" w:rsidR="00AF13BC" w:rsidRPr="000D77F0" w:rsidRDefault="00AF13BC" w:rsidP="00AF13B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.</w:t>
            </w:r>
          </w:p>
        </w:tc>
      </w:tr>
      <w:tr w:rsidR="00645445" w:rsidRPr="000B2033" w14:paraId="4D65FB23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40B17059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60+ Day Defaults (Beginning)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22FDD9F" w14:textId="18DBE85D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560E0E" w14:textId="60ECA3BB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595.1</w:t>
            </w:r>
          </w:p>
        </w:tc>
      </w:tr>
      <w:tr w:rsidR="00645445" w:rsidRPr="000B2033" w14:paraId="66BE274A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605590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No Longer in Default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6BF6C12" w14:textId="79009067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8A1EAEC" w14:textId="09550145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(21.4)</w:t>
            </w:r>
          </w:p>
        </w:tc>
      </w:tr>
      <w:tr w:rsidR="00645445" w:rsidRPr="000B2033" w14:paraId="7D5E2EAC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7F62DA2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Reinstated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A415AF9" w14:textId="335A26F4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84BC1FF" w14:textId="08C79956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015DCEFD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13170ED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Default to Delinquent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0C5F211" w14:textId="29948A4C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4E431F8" w14:textId="51BBCD9A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485B5666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6DA8154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Terminated Defaults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7A01696" w14:textId="15CAD54F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(3)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8F37C5" w14:textId="61828669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(21.4)</w:t>
            </w:r>
          </w:p>
        </w:tc>
      </w:tr>
      <w:tr w:rsidR="00645445" w:rsidRPr="000B2033" w14:paraId="09CF2850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30E505F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Continuing Defaults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72E2F6C" w14:textId="1A975B26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DDECB9" w14:textId="346FCA4A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573.6</w:t>
            </w:r>
          </w:p>
        </w:tc>
      </w:tr>
      <w:tr w:rsidR="00645445" w:rsidRPr="000B2033" w14:paraId="300EB9BA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B4A33E4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60+ Day Defaults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8B59FD3" w14:textId="679974F3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C12E02" w14:textId="7DCCAEED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11.9</w:t>
            </w:r>
          </w:p>
        </w:tc>
      </w:tr>
      <w:tr w:rsidR="00645445" w:rsidRPr="000B2033" w14:paraId="3FAD857E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3FF7D47C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19F7091" w14:textId="6005958D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CAE2424" w14:textId="3184F28B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(1.4)</w:t>
            </w:r>
          </w:p>
        </w:tc>
      </w:tr>
      <w:tr w:rsidR="00645445" w:rsidRPr="000B2033" w14:paraId="34C7CBC7" w14:textId="77777777" w:rsidTr="00645445">
        <w:trPr>
          <w:cantSplit/>
          <w:trHeight w:val="288"/>
          <w:jc w:val="center"/>
        </w:trPr>
        <w:tc>
          <w:tcPr>
            <w:tcW w:w="34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EE71BE5" w14:textId="77777777" w:rsidR="00645445" w:rsidRPr="000B2033" w:rsidRDefault="00645445" w:rsidP="00645445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60+ Day Defaults (Ending)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3261A54" w14:textId="0BBA527B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30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7CCBEFD" w14:textId="0400EC91" w:rsidR="00645445" w:rsidRPr="006A748D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584.2</w:t>
            </w:r>
          </w:p>
        </w:tc>
      </w:tr>
      <w:tr w:rsidR="00BC3D54" w:rsidRPr="000B2033" w14:paraId="00C07DDF" w14:textId="77777777" w:rsidTr="002403FC">
        <w:trPr>
          <w:cantSplit/>
          <w:jc w:val="center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E14FEE" w14:textId="77777777" w:rsidR="00BC3D54" w:rsidRDefault="00BC3D54" w:rsidP="00BC3D54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0B2033">
              <w:rPr>
                <w:rFonts w:cs="Arial"/>
                <w:color w:val="000000"/>
                <w:sz w:val="16"/>
                <w:szCs w:val="16"/>
              </w:rPr>
              <w:t>na</w:t>
            </w:r>
            <w:proofErr w:type="spellEnd"/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= not applicable.</w:t>
            </w:r>
          </w:p>
          <w:p w14:paraId="31C457F8" w14:textId="7F63A2D3" w:rsidR="00BC3D54" w:rsidRPr="002F57BD" w:rsidRDefault="00BC3D54" w:rsidP="00BC3D54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NOTE: </w:t>
            </w:r>
            <w:r w:rsidR="004F0924" w:rsidRPr="004F0924">
              <w:rPr>
                <w:rFonts w:cs="Arial"/>
                <w:sz w:val="16"/>
                <w:szCs w:val="16"/>
              </w:rPr>
              <w:t>Data are for June 2, 2021 – July 2, 2021.</w:t>
            </w:r>
          </w:p>
          <w:p w14:paraId="546F9E55" w14:textId="77777777" w:rsidR="00BC3D54" w:rsidRPr="000B2033" w:rsidRDefault="00BC3D54" w:rsidP="00BC3D54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0B2033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a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Section 223(d): Insures 2-year operating loss loans that cover operating losses during the first 2 years after completion (or any other 2-year period within the first 10 years after completion) of </w:t>
            </w:r>
            <w:r>
              <w:rPr>
                <w:rFonts w:cs="Arial"/>
                <w:color w:val="000000"/>
                <w:sz w:val="16"/>
                <w:szCs w:val="16"/>
              </w:rPr>
              <w:t>residential care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projects with a HUD-insured first mortgage.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br/>
            </w:r>
            <w:r w:rsidRPr="000B2033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b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Section 232: Insures loans to finance nursing homes, assisted living facilities, and board and care facilities. </w:t>
            </w:r>
          </w:p>
          <w:p w14:paraId="591A0988" w14:textId="77777777" w:rsidR="00BC3D54" w:rsidRPr="000B2033" w:rsidRDefault="00BC3D54" w:rsidP="00BC3D54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0B2033">
              <w:rPr>
                <w:rFonts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Section 241: Insures loans to finance repairs, additions, and improvements to </w:t>
            </w:r>
            <w:r>
              <w:rPr>
                <w:rFonts w:cs="Arial"/>
                <w:color w:val="000000"/>
                <w:sz w:val="16"/>
                <w:szCs w:val="16"/>
              </w:rPr>
              <w:t>residential care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facilities with FHA-insured first mortgages or HUD-held mortgages.</w:t>
            </w:r>
          </w:p>
          <w:p w14:paraId="56EC7A66" w14:textId="4C664E7E" w:rsidR="00BC3D54" w:rsidRDefault="004F0924" w:rsidP="00BC3D54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  <w:p w14:paraId="49208CA5" w14:textId="77777777" w:rsidR="00BC3D54" w:rsidRPr="000B2033" w:rsidRDefault="00BC3D54" w:rsidP="00BC3D54">
            <w:pPr>
              <w:keepNext/>
              <w:adjustRightInd w:val="0"/>
              <w:rPr>
                <w:color w:val="000000"/>
              </w:rPr>
            </w:pPr>
          </w:p>
        </w:tc>
      </w:tr>
    </w:tbl>
    <w:p w14:paraId="73A98503" w14:textId="763A18A3" w:rsidR="00162AD7" w:rsidRDefault="00162AD7" w:rsidP="000B1811">
      <w:pPr>
        <w:spacing w:before="40"/>
        <w:jc w:val="center"/>
        <w:rPr>
          <w:rFonts w:cs="Arial"/>
          <w:sz w:val="16"/>
          <w:szCs w:val="16"/>
        </w:rPr>
      </w:pPr>
      <w:bookmarkStart w:id="15" w:name="IDX3"/>
      <w:bookmarkEnd w:id="15"/>
    </w:p>
    <w:p w14:paraId="2DD01349" w14:textId="6335079E" w:rsidR="00162AD7" w:rsidRDefault="00162AD7">
      <w:pPr>
        <w:autoSpaceDE/>
        <w:autoSpaceDN/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90A469C" w14:textId="3B34F239" w:rsidR="00162AD7" w:rsidRDefault="00162AD7" w:rsidP="004D5D3D">
      <w:pPr>
        <w:adjustRightInd w:val="0"/>
        <w:spacing w:after="200"/>
        <w:jc w:val="center"/>
        <w:rPr>
          <w:rFonts w:cs="Arial"/>
          <w:b/>
          <w:sz w:val="20"/>
        </w:rPr>
      </w:pPr>
      <w:bookmarkStart w:id="16" w:name="_Toc512950737"/>
      <w:r w:rsidRPr="00CA60AC">
        <w:rPr>
          <w:rFonts w:cs="Arial"/>
          <w:b/>
          <w:sz w:val="20"/>
        </w:rPr>
        <w:lastRenderedPageBreak/>
        <w:t xml:space="preserve">Figure </w:t>
      </w:r>
      <w:r w:rsidRPr="00CA60AC">
        <w:rPr>
          <w:rFonts w:cs="Arial"/>
          <w:b/>
          <w:sz w:val="20"/>
        </w:rPr>
        <w:fldChar w:fldCharType="begin"/>
      </w:r>
      <w:r w:rsidRPr="00CA60AC">
        <w:rPr>
          <w:rFonts w:cs="Arial"/>
          <w:b/>
          <w:sz w:val="20"/>
        </w:rPr>
        <w:instrText xml:space="preserve"> SEQ Figure \* ARABIC </w:instrText>
      </w:r>
      <w:r w:rsidRPr="00CA60AC">
        <w:rPr>
          <w:rFonts w:cs="Arial"/>
          <w:b/>
          <w:sz w:val="20"/>
        </w:rPr>
        <w:fldChar w:fldCharType="separate"/>
      </w:r>
      <w:r w:rsidR="00E3436F">
        <w:rPr>
          <w:rFonts w:cs="Arial"/>
          <w:b/>
          <w:noProof/>
          <w:sz w:val="20"/>
        </w:rPr>
        <w:t>5</w:t>
      </w:r>
      <w:r w:rsidRPr="00CA60AC">
        <w:rPr>
          <w:rFonts w:cs="Arial"/>
          <w:b/>
          <w:sz w:val="20"/>
        </w:rPr>
        <w:fldChar w:fldCharType="end"/>
      </w:r>
      <w:r w:rsidRPr="00CA60AC">
        <w:rPr>
          <w:rFonts w:cs="Arial"/>
          <w:b/>
          <w:sz w:val="20"/>
        </w:rPr>
        <w:t xml:space="preserve">: </w:t>
      </w:r>
      <w:r w:rsidR="005037AD" w:rsidRPr="00CA60AC">
        <w:rPr>
          <w:rFonts w:cs="Arial"/>
          <w:b/>
          <w:sz w:val="20"/>
        </w:rPr>
        <w:t xml:space="preserve">FHA </w:t>
      </w:r>
      <w:r w:rsidRPr="00CA60AC">
        <w:rPr>
          <w:rFonts w:cs="Arial"/>
          <w:b/>
          <w:sz w:val="20"/>
        </w:rPr>
        <w:t>Residential Care Facilities Insurance-in-Force and Count, Last 2 Years</w:t>
      </w:r>
      <w:bookmarkEnd w:id="16"/>
    </w:p>
    <w:p w14:paraId="18EEB341" w14:textId="7F463596" w:rsidR="003A0E4A" w:rsidRDefault="0019752D" w:rsidP="003A0E4A">
      <w:pPr>
        <w:keepNext/>
        <w:adjustRightInd w:val="0"/>
        <w:rPr>
          <w:rFonts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382A571" wp14:editId="608782F1">
            <wp:extent cx="6858000" cy="41148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18FAEF05-CD60-4C53-869D-8110217785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A0E4A">
        <w:rPr>
          <w:rFonts w:cs="Arial"/>
          <w:sz w:val="16"/>
          <w:szCs w:val="16"/>
        </w:rPr>
        <w:br/>
      </w:r>
      <w:r w:rsidR="005037AD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5037A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5238C513" w14:textId="177259E0" w:rsidR="00037977" w:rsidRDefault="00037977" w:rsidP="00162AD7">
      <w:pPr>
        <w:spacing w:before="40"/>
        <w:rPr>
          <w:rFonts w:cs="Arial"/>
          <w:sz w:val="16"/>
          <w:szCs w:val="16"/>
        </w:rPr>
      </w:pPr>
    </w:p>
    <w:p w14:paraId="0B01B516" w14:textId="77777777" w:rsidR="00162AD7" w:rsidRDefault="00162AD7" w:rsidP="000B1811">
      <w:pPr>
        <w:spacing w:before="40"/>
        <w:jc w:val="center"/>
        <w:rPr>
          <w:rFonts w:cs="Arial"/>
          <w:sz w:val="16"/>
          <w:szCs w:val="16"/>
        </w:rPr>
      </w:pPr>
    </w:p>
    <w:p w14:paraId="35E6E709" w14:textId="57B30CDF" w:rsidR="00162AD7" w:rsidRDefault="00162AD7" w:rsidP="000B1811">
      <w:pPr>
        <w:spacing w:before="40"/>
        <w:jc w:val="center"/>
        <w:rPr>
          <w:rFonts w:cs="Arial"/>
          <w:sz w:val="16"/>
          <w:szCs w:val="16"/>
        </w:rPr>
        <w:sectPr w:rsidR="00162AD7" w:rsidSect="00CA0E65">
          <w:pgSz w:w="12240" w:h="15840" w:code="1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pPr w:leftFromText="187" w:rightFromText="187" w:vertAnchor="page" w:tblpXSpec="center" w:tblpY="1801"/>
        <w:tblOverlap w:val="never"/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59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9B6F7B" w:rsidRPr="000B2033" w14:paraId="1F269C3E" w14:textId="77777777" w:rsidTr="009B6F7B">
        <w:trPr>
          <w:cantSplit/>
          <w:trHeight w:val="576"/>
          <w:tblHeader/>
        </w:trPr>
        <w:tc>
          <w:tcPr>
            <w:tcW w:w="14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BC5A" w14:textId="77777777" w:rsidR="009B6F7B" w:rsidRPr="000B2033" w:rsidRDefault="009B6F7B" w:rsidP="009B6F7B">
            <w:pPr>
              <w:pStyle w:val="Heading1"/>
            </w:pPr>
            <w:bookmarkStart w:id="17" w:name="_Toc512950704"/>
            <w:r>
              <w:lastRenderedPageBreak/>
              <w:t>Table 5</w:t>
            </w:r>
            <w:r w:rsidRPr="000B2033">
              <w:t>. FHA Residential Care Facilities Pipeline Summary</w:t>
            </w:r>
            <w:bookmarkEnd w:id="17"/>
          </w:p>
        </w:tc>
      </w:tr>
      <w:tr w:rsidR="00353D2A" w:rsidRPr="000B2033" w14:paraId="56E575FE" w14:textId="77777777" w:rsidTr="009B6F7B">
        <w:trPr>
          <w:cantSplit/>
          <w:trHeight w:val="432"/>
          <w:tblHeader/>
        </w:trPr>
        <w:tc>
          <w:tcPr>
            <w:tcW w:w="259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bottom"/>
          </w:tcPr>
          <w:p w14:paraId="2744BE4E" w14:textId="77777777" w:rsidR="00353D2A" w:rsidRPr="000B2033" w:rsidRDefault="00353D2A" w:rsidP="00353D2A">
            <w:pPr>
              <w:keepNext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34590A1" w14:textId="698D3D25" w:rsidR="00353D2A" w:rsidRPr="00964DDD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1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CA1F3E" w14:textId="58752681" w:rsidR="00353D2A" w:rsidRPr="00964DDD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0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B1D748C" w14:textId="11F6599B" w:rsidR="00353D2A" w:rsidRPr="00964DDD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FY 202</w:t>
            </w:r>
            <w:r w:rsidR="001572C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0D15C6" w14:textId="7A0ACB47" w:rsidR="00353D2A" w:rsidRPr="00964DDD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304" w:type="dxa"/>
            <w:gridSpan w:val="2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5090A85" w14:textId="31B020B4" w:rsidR="00353D2A" w:rsidRPr="00964DDD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Final</w:t>
            </w:r>
          </w:p>
        </w:tc>
      </w:tr>
      <w:tr w:rsidR="009B6F7B" w:rsidRPr="000B2033" w14:paraId="18374D6F" w14:textId="77777777" w:rsidTr="009B6F7B">
        <w:trPr>
          <w:cantSplit/>
          <w:trHeight w:val="432"/>
          <w:tblHeader/>
        </w:trPr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BEC7DC5" w14:textId="77777777" w:rsidR="009B6F7B" w:rsidRPr="000B2033" w:rsidRDefault="009B6F7B" w:rsidP="009B6F7B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AA1C900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Number </w:t>
            </w:r>
            <w:r>
              <w:rPr>
                <w:rFonts w:cs="Arial"/>
                <w:color w:val="000000"/>
                <w:szCs w:val="18"/>
              </w:rPr>
              <w:t>o</w:t>
            </w:r>
            <w:r w:rsidRPr="00964DDD">
              <w:rPr>
                <w:rFonts w:cs="Arial"/>
                <w:color w:val="000000"/>
                <w:szCs w:val="18"/>
              </w:rPr>
              <w:t>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BA90E6C" w14:textId="77777777" w:rsidR="009B6F7B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0F9AFDCF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>($</w:t>
            </w:r>
            <w:r>
              <w:rPr>
                <w:rFonts w:cs="Arial"/>
                <w:color w:val="000000"/>
                <w:szCs w:val="18"/>
              </w:rPr>
              <w:t xml:space="preserve"> m</w:t>
            </w:r>
            <w:r w:rsidRPr="00964DDD">
              <w:rPr>
                <w:rFonts w:cs="Arial"/>
                <w:color w:val="000000"/>
                <w:szCs w:val="18"/>
              </w:rPr>
              <w:t>illion</w:t>
            </w:r>
            <w:r>
              <w:rPr>
                <w:rFonts w:cs="Arial"/>
                <w:color w:val="000000"/>
                <w:szCs w:val="18"/>
              </w:rPr>
              <w:t>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807A6FF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Number </w:t>
            </w:r>
            <w:r>
              <w:rPr>
                <w:rFonts w:cs="Arial"/>
                <w:color w:val="000000"/>
                <w:szCs w:val="18"/>
              </w:rPr>
              <w:t>o</w:t>
            </w:r>
            <w:r w:rsidRPr="00964DDD">
              <w:rPr>
                <w:rFonts w:cs="Arial"/>
                <w:color w:val="000000"/>
                <w:szCs w:val="18"/>
              </w:rPr>
              <w:t>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89E5256" w14:textId="77777777" w:rsidR="009B6F7B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1CC994F2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>($</w:t>
            </w:r>
            <w:r>
              <w:rPr>
                <w:rFonts w:cs="Arial"/>
                <w:color w:val="000000"/>
                <w:szCs w:val="18"/>
              </w:rPr>
              <w:t xml:space="preserve"> m</w:t>
            </w:r>
            <w:r w:rsidRPr="00964DDD">
              <w:rPr>
                <w:rFonts w:cs="Arial"/>
                <w:color w:val="000000"/>
                <w:szCs w:val="18"/>
              </w:rPr>
              <w:t>illion</w:t>
            </w:r>
            <w:r>
              <w:rPr>
                <w:rFonts w:cs="Arial"/>
                <w:color w:val="000000"/>
                <w:szCs w:val="18"/>
              </w:rPr>
              <w:t>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C63CA5F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Number </w:t>
            </w:r>
            <w:r>
              <w:rPr>
                <w:rFonts w:cs="Arial"/>
                <w:color w:val="000000"/>
                <w:szCs w:val="18"/>
              </w:rPr>
              <w:t>o</w:t>
            </w:r>
            <w:r w:rsidRPr="00964DDD">
              <w:rPr>
                <w:rFonts w:cs="Arial"/>
                <w:color w:val="000000"/>
                <w:szCs w:val="18"/>
              </w:rPr>
              <w:t>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B57A323" w14:textId="77777777" w:rsidR="009B6F7B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0C1A3CAD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>($</w:t>
            </w:r>
            <w:r>
              <w:rPr>
                <w:rFonts w:cs="Arial"/>
                <w:color w:val="000000"/>
                <w:szCs w:val="18"/>
              </w:rPr>
              <w:t xml:space="preserve"> m</w:t>
            </w:r>
            <w:r w:rsidRPr="00964DDD">
              <w:rPr>
                <w:rFonts w:cs="Arial"/>
                <w:color w:val="000000"/>
                <w:szCs w:val="18"/>
              </w:rPr>
              <w:t>illion</w:t>
            </w:r>
            <w:r>
              <w:rPr>
                <w:rFonts w:cs="Arial"/>
                <w:color w:val="000000"/>
                <w:szCs w:val="18"/>
              </w:rPr>
              <w:t>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5966CD9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Number </w:t>
            </w:r>
            <w:r>
              <w:rPr>
                <w:rFonts w:cs="Arial"/>
                <w:color w:val="000000"/>
                <w:szCs w:val="18"/>
              </w:rPr>
              <w:t>o</w:t>
            </w:r>
            <w:r w:rsidRPr="00964DDD">
              <w:rPr>
                <w:rFonts w:cs="Arial"/>
                <w:color w:val="000000"/>
                <w:szCs w:val="18"/>
              </w:rPr>
              <w:t>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6DA9CEB" w14:textId="77777777" w:rsidR="009B6F7B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1BC2C647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>($</w:t>
            </w:r>
            <w:r>
              <w:rPr>
                <w:rFonts w:cs="Arial"/>
                <w:color w:val="000000"/>
                <w:szCs w:val="18"/>
              </w:rPr>
              <w:t xml:space="preserve"> m</w:t>
            </w:r>
            <w:r w:rsidRPr="00964DDD">
              <w:rPr>
                <w:rFonts w:cs="Arial"/>
                <w:color w:val="000000"/>
                <w:szCs w:val="18"/>
              </w:rPr>
              <w:t>illion</w:t>
            </w:r>
            <w:r>
              <w:rPr>
                <w:rFonts w:cs="Arial"/>
                <w:color w:val="000000"/>
                <w:szCs w:val="18"/>
              </w:rPr>
              <w:t>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3D62A5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Number </w:t>
            </w:r>
            <w:r>
              <w:rPr>
                <w:rFonts w:cs="Arial"/>
                <w:color w:val="000000"/>
                <w:szCs w:val="18"/>
              </w:rPr>
              <w:t>o</w:t>
            </w:r>
            <w:r w:rsidRPr="00964DDD">
              <w:rPr>
                <w:rFonts w:cs="Arial"/>
                <w:color w:val="000000"/>
                <w:szCs w:val="18"/>
              </w:rPr>
              <w:t>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FE070B" w14:textId="77777777" w:rsidR="009B6F7B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 xml:space="preserve">Loan </w:t>
            </w:r>
            <w:r>
              <w:rPr>
                <w:rFonts w:cs="Arial"/>
                <w:color w:val="000000"/>
                <w:szCs w:val="18"/>
              </w:rPr>
              <w:t>Balance</w:t>
            </w:r>
            <w:r w:rsidRPr="00964DDD">
              <w:rPr>
                <w:rFonts w:cs="Arial"/>
                <w:color w:val="000000"/>
                <w:szCs w:val="18"/>
              </w:rPr>
              <w:t xml:space="preserve"> </w:t>
            </w:r>
          </w:p>
          <w:p w14:paraId="0F610631" w14:textId="77777777" w:rsidR="009B6F7B" w:rsidRPr="00964DDD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964DDD">
              <w:rPr>
                <w:rFonts w:cs="Arial"/>
                <w:color w:val="000000"/>
                <w:szCs w:val="18"/>
              </w:rPr>
              <w:t>($</w:t>
            </w:r>
            <w:r>
              <w:rPr>
                <w:rFonts w:cs="Arial"/>
                <w:color w:val="000000"/>
                <w:szCs w:val="18"/>
              </w:rPr>
              <w:t xml:space="preserve"> m</w:t>
            </w:r>
            <w:r w:rsidRPr="00964DDD">
              <w:rPr>
                <w:rFonts w:cs="Arial"/>
                <w:color w:val="000000"/>
                <w:szCs w:val="18"/>
              </w:rPr>
              <w:t>illion</w:t>
            </w:r>
            <w:r>
              <w:rPr>
                <w:rFonts w:cs="Arial"/>
                <w:color w:val="000000"/>
                <w:szCs w:val="18"/>
              </w:rPr>
              <w:t>s)</w:t>
            </w:r>
          </w:p>
        </w:tc>
      </w:tr>
      <w:tr w:rsidR="00645445" w:rsidRPr="000B2033" w14:paraId="71BF134F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CA267AE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Applications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D703536" w14:textId="15EE9A2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4B61887" w14:textId="6CA2F25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486.0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8D7F0ED" w14:textId="51A8D28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5F426D91" w14:textId="6F4073F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597.4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27239BB" w14:textId="49F532D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431D7D8C" w14:textId="37A0622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6,358.5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5D6629B1" w14:textId="5E1CA99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335A503B" w14:textId="36A1772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6,226.5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AC4B49D" w14:textId="3DD6796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14:paraId="5751A1F5" w14:textId="762F259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9,550.6</w:t>
            </w:r>
          </w:p>
        </w:tc>
      </w:tr>
      <w:tr w:rsidR="00645445" w:rsidRPr="000B2033" w14:paraId="39CCA219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54BFB3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223(d)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4B1590" w14:textId="4B2BBFA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86FF7E" w14:textId="6709203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21.1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0457DF" w14:textId="1EBD80B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2ABCA58" w14:textId="18A2AFD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37E84FB" w14:textId="3795E6E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C08A6B" w14:textId="7C368F0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08B00D1" w14:textId="0D9BCAD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FAB1284" w14:textId="65699B5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F21B76" w14:textId="2EE0AC5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314389D" w14:textId="298F1DB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10.0</w:t>
            </w:r>
          </w:p>
        </w:tc>
      </w:tr>
      <w:tr w:rsidR="00645445" w:rsidRPr="000B2033" w14:paraId="5A895499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73625C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New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Construction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916CFE" w14:textId="5B9B3FD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0F12A1" w14:textId="591EAAB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4A99D6" w14:textId="11FD056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FC5712" w14:textId="4A9F14E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25.1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DA52D72" w14:textId="0A9AA7E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CD5B6F" w14:textId="3C2A42D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607.3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399641" w14:textId="6AC747BB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4608CA" w14:textId="7DC7C89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246.4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2CC0AAB" w14:textId="2A8701AF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8C2216E" w14:textId="11A43DC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333.1</w:t>
            </w:r>
          </w:p>
        </w:tc>
      </w:tr>
      <w:tr w:rsidR="00645445" w:rsidRPr="000B2033" w14:paraId="41F9202F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7F510A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Refinance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54D634" w14:textId="7A12358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AA8679" w14:textId="2CBE1FB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426.4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F593EA" w14:textId="3308C73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386E8C" w14:textId="1CBAD9A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572.3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F5B1FA" w14:textId="1B018BE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CB97160" w14:textId="6E94700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5,611.0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3F5A80" w14:textId="78DE3B7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67FB1CD" w14:textId="05AC8B7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5,891.9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D4BC05" w14:textId="3121DFCB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B3DEEA5" w14:textId="5846C2D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9,119.2</w:t>
            </w:r>
          </w:p>
        </w:tc>
      </w:tr>
      <w:tr w:rsidR="00645445" w:rsidRPr="000B2033" w14:paraId="06533178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5488D0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114FF4" w14:textId="05CA9D3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352CEA" w14:textId="451046D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108EECA" w14:textId="30B6D56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BD96CB" w14:textId="27302B3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4EDAAA" w14:textId="0159B3B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277B55" w14:textId="465D2F5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106.9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B341F9" w14:textId="0773703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6F6BBFB" w14:textId="5AC0344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88.2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9673D0" w14:textId="5C10A00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E5AE0F" w14:textId="5C713EF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88.2</w:t>
            </w:r>
          </w:p>
        </w:tc>
      </w:tr>
      <w:tr w:rsidR="00645445" w:rsidRPr="000B2033" w14:paraId="00A030E9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409D8F07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Commitments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e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784DAFC" w14:textId="5D68C5DF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3ED1F586" w14:textId="0523D9B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514.4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7C4F8D0" w14:textId="6EE2BF5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A8A02F3" w14:textId="4D0164E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373.4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BA017BF" w14:textId="255305B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7BBAA6A" w14:textId="4C8796B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3,839.8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5858EE8" w14:textId="7C40140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FC8316D" w14:textId="556BED1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3,162.7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E1CDF98" w14:textId="533C150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14:paraId="04BA7827" w14:textId="5454B26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4,106.2</w:t>
            </w:r>
          </w:p>
        </w:tc>
      </w:tr>
      <w:tr w:rsidR="00645445" w:rsidRPr="000B2033" w14:paraId="0BEB5559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C810BBA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223(d)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AB9113" w14:textId="18948E4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E95536" w14:textId="2BB73CC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776EFDD" w14:textId="082E0D3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8DCE160" w14:textId="08A0568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BF15E3" w14:textId="2D9DE48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9B78287" w14:textId="402B692F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0173F72" w14:textId="2C4EF70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E9E06B" w14:textId="3169A75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5320D7" w14:textId="1E06917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11FCC3F" w14:textId="784DA6E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0.8</w:t>
            </w:r>
          </w:p>
        </w:tc>
      </w:tr>
      <w:tr w:rsidR="00645445" w:rsidRPr="000B2033" w14:paraId="544C71D8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35DD3F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New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Construction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3759047" w14:textId="0EF527F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2CDE31" w14:textId="54EDF15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54D4F2" w14:textId="53B14AC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7A04E8" w14:textId="11D2171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1B0C94" w14:textId="08D8A57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9BE4A82" w14:textId="53413FC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26.8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3D0E4E" w14:textId="3DFF1DC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5A9F34" w14:textId="51D7A06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9A51B4" w14:textId="7C49478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B3D28A0" w14:textId="6AE437F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104.9</w:t>
            </w:r>
          </w:p>
        </w:tc>
      </w:tr>
      <w:tr w:rsidR="00645445" w:rsidRPr="000B2033" w14:paraId="671F9B32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3B83EA4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Refinance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47E4E2" w14:textId="62A7F72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247AA2" w14:textId="7429FDC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514.4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816C18" w14:textId="743AE06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1CCD5A" w14:textId="1733B8C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373.4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0FEE077" w14:textId="14CEF23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F62F36" w14:textId="1B21343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3,813.0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B7E1FBC" w14:textId="103683B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941F2E" w14:textId="31256DF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3,013.7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7CDDCF" w14:textId="4C2035D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A562D95" w14:textId="5504EA5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3,939.4</w:t>
            </w:r>
          </w:p>
        </w:tc>
      </w:tr>
      <w:tr w:rsidR="00645445" w:rsidRPr="000B2033" w14:paraId="380B5522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91C6D9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D864C12" w14:textId="30B888B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213531" w14:textId="41A96FC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9026CF3" w14:textId="321E877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1A5915" w14:textId="1102A0CB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D833F3" w14:textId="0F6EB28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4DC964" w14:textId="6059B61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633F28C" w14:textId="6ED2094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ECAA04" w14:textId="6885385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58.2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F434E64" w14:textId="045DEE93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4234498" w14:textId="7479B4F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61.1</w:t>
            </w:r>
          </w:p>
        </w:tc>
      </w:tr>
      <w:tr w:rsidR="00645445" w:rsidRPr="000B2033" w14:paraId="075A348B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5CDD1FE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Endorsements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63FDD28A" w14:textId="70403CC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B82ED19" w14:textId="4B27A62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122.3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08CEA051" w14:textId="0062583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9E8FACB" w14:textId="165713C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385.7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9EA46DD" w14:textId="308D357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2BAD75B6" w14:textId="50AF3C7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2,888.3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38899079" w14:textId="5B6AD95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10784521" w14:textId="4D9DDCD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3,383.3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/>
            <w:vAlign w:val="bottom"/>
          </w:tcPr>
          <w:p w14:paraId="7100CE4A" w14:textId="6E31AE73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/>
            <w:vAlign w:val="bottom"/>
          </w:tcPr>
          <w:p w14:paraId="46F6DBC7" w14:textId="743F94C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4,375.3</w:t>
            </w:r>
          </w:p>
        </w:tc>
      </w:tr>
      <w:tr w:rsidR="00645445" w:rsidRPr="000B2033" w14:paraId="56164A90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9E6468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223(d)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97EAE32" w14:textId="591CE78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BED616C" w14:textId="18DFDE09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CBF3AFC" w14:textId="7752289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F46ABB6" w14:textId="458CBE5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53660FA" w14:textId="7CE8137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3313F7" w14:textId="0262601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91A698" w14:textId="69571BCB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B11A71" w14:textId="1146DAD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505051" w14:textId="1B2E83F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F262996" w14:textId="6DD44B6F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0.8</w:t>
            </w:r>
          </w:p>
        </w:tc>
      </w:tr>
      <w:tr w:rsidR="00645445" w:rsidRPr="000B2033" w14:paraId="75F117C0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3765CF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New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Construction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8497477" w14:textId="42A09C2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05D0E6" w14:textId="1C15102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2BCEF7" w14:textId="3171E71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F912D" w14:textId="472BF393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615512" w14:textId="4275C233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D0978C4" w14:textId="5871858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26.9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6AE040" w14:textId="41DABC8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229EA90" w14:textId="41926C25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133.5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188522" w14:textId="55B0963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0B835B4" w14:textId="4AF5E61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133.5</w:t>
            </w:r>
          </w:p>
        </w:tc>
      </w:tr>
      <w:tr w:rsidR="00645445" w:rsidRPr="000B2033" w14:paraId="173743B9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D290707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232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Refinance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FF6F22" w14:textId="31BE5ECA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7575228" w14:textId="1D2322C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122.3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F7841A" w14:textId="7912CE5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939C6F" w14:textId="6FAC552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385.7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6E510A3" w14:textId="2FF13FAB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BC0D8B" w14:textId="6D404FD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2,851.7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60362F" w14:textId="7C46CBC2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0B74C0" w14:textId="012E98F7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3,199.3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8AD520" w14:textId="174CCAC0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1EEB58" w14:textId="56E76AF1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4,183.2</w:t>
            </w:r>
          </w:p>
        </w:tc>
      </w:tr>
      <w:tr w:rsidR="00645445" w:rsidRPr="000B2033" w14:paraId="3009BA23" w14:textId="77777777" w:rsidTr="00645445">
        <w:trPr>
          <w:cantSplit/>
          <w:trHeight w:hRule="exact" w:val="288"/>
        </w:trPr>
        <w:tc>
          <w:tcPr>
            <w:tcW w:w="259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E2DBEE3" w14:textId="77777777" w:rsidR="00645445" w:rsidRPr="000B2033" w:rsidRDefault="00645445" w:rsidP="00645445">
            <w:pPr>
              <w:keepNext/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241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00EA85" w14:textId="6FEA904D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A31EB46" w14:textId="12428A1E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81BB91D" w14:textId="68ECA3CC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9981D3" w14:textId="20E79FD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1651E5" w14:textId="1A64D50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509AA7" w14:textId="08DCD4D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9.7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49D80D" w14:textId="576F5A64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FF24D55" w14:textId="1B1B0588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49.9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8D6ADA" w14:textId="58A4F7A6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491726" w14:textId="3D46E97F" w:rsidR="00645445" w:rsidRPr="00FD7124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57.9</w:t>
            </w:r>
          </w:p>
        </w:tc>
      </w:tr>
      <w:tr w:rsidR="009B6F7B" w:rsidRPr="000B2033" w14:paraId="1A515D22" w14:textId="77777777" w:rsidTr="009B6F7B">
        <w:trPr>
          <w:cantSplit/>
        </w:trPr>
        <w:tc>
          <w:tcPr>
            <w:tcW w:w="14112" w:type="dxa"/>
            <w:gridSpan w:val="11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036A670" w14:textId="77777777" w:rsidR="009B6F7B" w:rsidRDefault="009B6F7B" w:rsidP="009B6F7B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  <w:vertAlign w:val="superscript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proofErr w:type="gramEnd"/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Application data may differ from data reported on the </w:t>
            </w:r>
            <w:r w:rsidRPr="000D6A15">
              <w:rPr>
                <w:rFonts w:cs="Arial"/>
                <w:sz w:val="16"/>
                <w:szCs w:val="16"/>
              </w:rPr>
              <w:t>Office of Residential Care Facilities website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 due to data in the queue that </w:t>
            </w:r>
            <w:r>
              <w:rPr>
                <w:rFonts w:cs="Arial"/>
                <w:color w:val="000000"/>
                <w:sz w:val="16"/>
                <w:szCs w:val="16"/>
              </w:rPr>
              <w:t>are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 not yet assigned when this table is prepared.</w:t>
            </w:r>
          </w:p>
          <w:p w14:paraId="4B9BC25F" w14:textId="77777777" w:rsidR="009B6F7B" w:rsidRPr="000B2033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b</w:t>
            </w:r>
            <w:r w:rsidRPr="000B2033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Section 223(d): Insures two-year operating loss loans that cover operating losses during the first 2 years after completion (or any other 2-year period within the first 10 years after completion) of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residential care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>projects with a HUD-insured first mortgage.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br/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0B2033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Section 232: Insures loans to finance nursing homes, assisted living facilities, and board and care facilities. </w:t>
            </w:r>
          </w:p>
          <w:p w14:paraId="317C8C62" w14:textId="77777777" w:rsidR="009B6F7B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d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Section 241: Insures loans to finance repairs, additions, and improvements to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residential care </w:t>
            </w:r>
            <w:r w:rsidRPr="000B2033">
              <w:rPr>
                <w:rFonts w:cs="Arial"/>
                <w:color w:val="000000"/>
                <w:sz w:val="16"/>
                <w:szCs w:val="16"/>
              </w:rPr>
              <w:t>facilities with FHA-insured first mortgages or HUD-held mortgages.</w:t>
            </w:r>
          </w:p>
          <w:p w14:paraId="1222539C" w14:textId="77777777" w:rsidR="009B6F7B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e 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Commitment data may differ from data reported on the </w:t>
            </w:r>
            <w:r w:rsidRPr="000D6A15">
              <w:rPr>
                <w:rFonts w:cs="Arial"/>
                <w:sz w:val="16"/>
                <w:szCs w:val="16"/>
              </w:rPr>
              <w:t>Office of Residential Care Facilities website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 due to differences in when the reports are created.</w:t>
            </w:r>
          </w:p>
          <w:p w14:paraId="49EE5080" w14:textId="77777777" w:rsidR="009B6F7B" w:rsidRPr="000B2033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Endorsement data may differ from data reported on the </w:t>
            </w:r>
            <w:r w:rsidRPr="000D6A15">
              <w:rPr>
                <w:rFonts w:cs="Arial"/>
                <w:sz w:val="16"/>
                <w:szCs w:val="16"/>
              </w:rPr>
              <w:t>Office of Residential Care Facilities website</w:t>
            </w:r>
            <w:r w:rsidRPr="0061396B">
              <w:rPr>
                <w:rFonts w:cs="Arial"/>
                <w:color w:val="000000"/>
                <w:sz w:val="16"/>
                <w:szCs w:val="16"/>
              </w:rPr>
              <w:t xml:space="preserve"> due to differences in when the reports are created.</w:t>
            </w:r>
          </w:p>
          <w:p w14:paraId="56932D9E" w14:textId="5700291B" w:rsidR="009B6F7B" w:rsidRDefault="004F0924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  <w:p w14:paraId="6749EE8C" w14:textId="77777777" w:rsidR="009B6F7B" w:rsidRPr="000B2033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3E6EA6E3" w14:textId="552F0BD4" w:rsidR="006F5312" w:rsidRDefault="006F5312" w:rsidP="000B1811">
      <w:pPr>
        <w:spacing w:before="40"/>
        <w:jc w:val="center"/>
        <w:rPr>
          <w:rFonts w:cs="Arial"/>
          <w:sz w:val="16"/>
          <w:szCs w:val="16"/>
        </w:rPr>
        <w:sectPr w:rsidR="006F5312" w:rsidSect="00CA0E65">
          <w:pgSz w:w="15840" w:h="12240" w:orient="landscape" w:code="1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pPr w:leftFromText="187" w:rightFromText="187" w:vertAnchor="page" w:tblpXSpec="center" w:tblpY="1441"/>
        <w:tblOverlap w:val="never"/>
        <w:tblW w:w="475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84"/>
        <w:gridCol w:w="1584"/>
        <w:gridCol w:w="1584"/>
      </w:tblGrid>
      <w:tr w:rsidR="00ED4561" w:rsidRPr="00ED4561" w14:paraId="7CFD9AF9" w14:textId="77777777" w:rsidTr="00D172B6">
        <w:trPr>
          <w:trHeight w:val="576"/>
        </w:trPr>
        <w:tc>
          <w:tcPr>
            <w:tcW w:w="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1B85" w14:textId="77777777" w:rsidR="00ED4561" w:rsidRPr="00ED4561" w:rsidRDefault="00ED4561" w:rsidP="00D81989">
            <w:pPr>
              <w:pStyle w:val="Heading1"/>
            </w:pPr>
            <w:bookmarkStart w:id="18" w:name="_Toc512950705"/>
            <w:r w:rsidRPr="00ED4561">
              <w:lastRenderedPageBreak/>
              <w:t xml:space="preserve">Table </w:t>
            </w:r>
            <w:r w:rsidR="00274397">
              <w:t>6</w:t>
            </w:r>
            <w:r w:rsidRPr="00ED4561">
              <w:t xml:space="preserve">. FHA </w:t>
            </w:r>
            <w:r w:rsidR="000F4419" w:rsidRPr="000F4419">
              <w:t xml:space="preserve">Residential Care Facilities </w:t>
            </w:r>
            <w:r w:rsidRPr="00ED4561">
              <w:t>60+ Day Default Rate</w:t>
            </w:r>
            <w:bookmarkEnd w:id="18"/>
          </w:p>
        </w:tc>
      </w:tr>
      <w:tr w:rsidR="00ED4561" w:rsidRPr="00ED4561" w14:paraId="2C7F2011" w14:textId="77777777" w:rsidTr="00D172B6">
        <w:trPr>
          <w:trHeight w:val="288"/>
        </w:trPr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449C" w14:textId="77777777" w:rsidR="00ED4561" w:rsidRPr="001979B1" w:rsidRDefault="00ED4561" w:rsidP="00D81989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Calendar Year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DBC8" w14:textId="77777777" w:rsidR="00ED4561" w:rsidRPr="001979B1" w:rsidRDefault="00ED4561" w:rsidP="00D81989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Month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4999" w14:textId="77777777" w:rsidR="00ED4561" w:rsidRPr="001979B1" w:rsidRDefault="00ED4561" w:rsidP="00D81989">
            <w:pPr>
              <w:autoSpaceDE/>
              <w:autoSpaceDN/>
              <w:jc w:val="right"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Default </w:t>
            </w:r>
            <w:proofErr w:type="spellStart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>Rate</w:t>
            </w:r>
            <w:r w:rsidRPr="001979B1">
              <w:rPr>
                <w:rFonts w:eastAsia="Times New Roman" w:cs="Arial"/>
                <w:bCs/>
                <w:color w:val="000000"/>
                <w:szCs w:val="18"/>
                <w:vertAlign w:val="superscript"/>
              </w:rPr>
              <w:t>a</w:t>
            </w:r>
            <w:proofErr w:type="spellEnd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 (%)</w:t>
            </w:r>
          </w:p>
        </w:tc>
      </w:tr>
      <w:tr w:rsidR="007A0183" w:rsidRPr="00ED4561" w14:paraId="71167A46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50540" w14:textId="1EBDCEC3" w:rsidR="007A0183" w:rsidRDefault="00645445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2018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6176F0B" w14:textId="2FF2497F" w:rsidR="007A0183" w:rsidRDefault="007A0183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C0BF081" w14:textId="34BC5ACA" w:rsidR="007A0183" w:rsidRDefault="007A018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1.37</w:t>
            </w:r>
          </w:p>
        </w:tc>
      </w:tr>
      <w:tr w:rsidR="007A0183" w:rsidRPr="00ED4561" w14:paraId="2596FFAF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A5D14" w14:textId="77777777" w:rsidR="007A0183" w:rsidRDefault="007A0183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E18389" w14:textId="5189EAB5" w:rsidR="007A0183" w:rsidRDefault="007A0183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B7FEC3E" w14:textId="23349D9D" w:rsidR="007A0183" w:rsidRDefault="007A018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1.74</w:t>
            </w:r>
          </w:p>
        </w:tc>
      </w:tr>
      <w:tr w:rsidR="0082402A" w:rsidRPr="00ED4561" w14:paraId="277BE292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26BD7" w14:textId="77777777" w:rsidR="0082402A" w:rsidRDefault="0082402A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80FED0D" w14:textId="022DE494" w:rsidR="0082402A" w:rsidRDefault="0082402A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605CC51" w14:textId="35A6A834" w:rsidR="0082402A" w:rsidRDefault="0082402A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1.17</w:t>
            </w:r>
          </w:p>
        </w:tc>
      </w:tr>
      <w:tr w:rsidR="0082402A" w:rsidRPr="00ED4561" w14:paraId="7A2DA592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EC9CB" w14:textId="77777777" w:rsidR="0082402A" w:rsidRDefault="0082402A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9906136" w14:textId="264CBF48" w:rsidR="0082402A" w:rsidRDefault="0082402A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EE472F" w14:textId="13B27DCB" w:rsidR="0082402A" w:rsidRDefault="0082402A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1.19</w:t>
            </w:r>
          </w:p>
        </w:tc>
      </w:tr>
      <w:tr w:rsidR="00C174FF" w:rsidRPr="00ED4561" w14:paraId="0F92A953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C6B86" w14:textId="77777777" w:rsidR="00C174FF" w:rsidRDefault="00C174FF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535BBB1" w14:textId="760CE90C" w:rsidR="00C174FF" w:rsidRDefault="00C174FF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96E17C4" w14:textId="68557289" w:rsidR="00C174FF" w:rsidRDefault="00C174F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1.16</w:t>
            </w:r>
          </w:p>
        </w:tc>
      </w:tr>
      <w:tr w:rsidR="00A04EE3" w:rsidRPr="00ED4561" w14:paraId="1824771E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BA437" w14:textId="77777777" w:rsidR="00A04EE3" w:rsidRDefault="00A04EE3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547932C" w14:textId="1B93E2C0" w:rsidR="00A04EE3" w:rsidRDefault="00A04EE3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5E5B383" w14:textId="136EA776" w:rsidR="00A04EE3" w:rsidRDefault="00A04EE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1.19</w:t>
            </w:r>
          </w:p>
        </w:tc>
      </w:tr>
      <w:tr w:rsidR="00A04EE3" w:rsidRPr="00ED4561" w14:paraId="40921F09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A66D4" w14:textId="77777777" w:rsidR="00A04EE3" w:rsidRDefault="00A04EE3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577D6E" w14:textId="4BBDE4D7" w:rsidR="00A04EE3" w:rsidRDefault="00A04EE3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739118" w14:textId="12E13801" w:rsidR="00A04EE3" w:rsidRDefault="006D0725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1.34</w:t>
            </w:r>
          </w:p>
        </w:tc>
      </w:tr>
      <w:tr w:rsidR="00CC626D" w:rsidRPr="00ED4561" w14:paraId="4BA5755A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51083" w14:textId="13DFEAA6" w:rsidR="00CC626D" w:rsidRDefault="00CC626D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9C72F42" w14:textId="01D1421D" w:rsidR="00CC626D" w:rsidRDefault="00CC626D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96CBD43" w14:textId="2E0594E4" w:rsidR="00CC626D" w:rsidRDefault="002743F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1.35</w:t>
            </w:r>
          </w:p>
        </w:tc>
      </w:tr>
      <w:tr w:rsidR="0006735A" w:rsidRPr="00ED4561" w14:paraId="5FDF416D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1EF81" w14:textId="77777777" w:rsidR="0006735A" w:rsidRDefault="0006735A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46DF3D7" w14:textId="78702AAB" w:rsidR="0006735A" w:rsidRDefault="0006735A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305FFD" w14:textId="76918B0D" w:rsidR="0006735A" w:rsidRDefault="007D561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1.35</w:t>
            </w:r>
          </w:p>
        </w:tc>
      </w:tr>
      <w:tr w:rsidR="00844420" w:rsidRPr="00ED4561" w14:paraId="6644C391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E8002" w14:textId="77777777" w:rsidR="00844420" w:rsidRDefault="00844420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CE1B5D9" w14:textId="203996A4" w:rsidR="00844420" w:rsidRDefault="00844420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A0A3FF8" w14:textId="6114E3AD" w:rsidR="00844420" w:rsidRDefault="00844420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1.34</w:t>
            </w:r>
          </w:p>
        </w:tc>
      </w:tr>
      <w:tr w:rsidR="000900F6" w:rsidRPr="00ED4561" w14:paraId="12691EAB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8329A" w14:textId="77777777" w:rsidR="000900F6" w:rsidRDefault="000900F6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BEA2008" w14:textId="1E1A55CC" w:rsidR="000900F6" w:rsidRDefault="000900F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FDB7D78" w14:textId="5B2F877F" w:rsidR="000900F6" w:rsidRDefault="000900F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1.19</w:t>
            </w:r>
          </w:p>
        </w:tc>
      </w:tr>
      <w:tr w:rsidR="00C33F72" w:rsidRPr="00ED4561" w14:paraId="6A1C8CE6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45139" w14:textId="77777777" w:rsidR="00C33F72" w:rsidRDefault="00C33F72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87CCCAD" w14:textId="44A1D0F1" w:rsidR="00C33F72" w:rsidRDefault="00C33F72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C4E1F0" w14:textId="2EE53705" w:rsidR="00C33F72" w:rsidRDefault="008C3C4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1.63</w:t>
            </w:r>
          </w:p>
        </w:tc>
      </w:tr>
      <w:tr w:rsidR="00DA1D0F" w:rsidRPr="00ED4561" w14:paraId="4E6ECC36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BDFA5" w14:textId="77777777" w:rsidR="00DA1D0F" w:rsidRDefault="00DA1D0F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EBFA863" w14:textId="0144D72E" w:rsidR="00DA1D0F" w:rsidRDefault="00DA1D0F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9ABC9EF" w14:textId="56012A20" w:rsidR="00DA1D0F" w:rsidRDefault="006F3B2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1.70</w:t>
            </w:r>
          </w:p>
        </w:tc>
      </w:tr>
      <w:tr w:rsidR="00751992" w:rsidRPr="00ED4561" w14:paraId="7F4DEBDD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B5821" w14:textId="77777777" w:rsidR="00751992" w:rsidRDefault="00751992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E10D5F6" w14:textId="3FBD7977" w:rsidR="00751992" w:rsidRDefault="00751992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6ED0E63" w14:textId="60A0B0DC" w:rsidR="00751992" w:rsidRDefault="00F25445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1.63</w:t>
            </w:r>
          </w:p>
        </w:tc>
      </w:tr>
      <w:tr w:rsidR="0099150E" w:rsidRPr="00ED4561" w14:paraId="69E33B3D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8B56F" w14:textId="77777777" w:rsidR="0099150E" w:rsidRDefault="0099150E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3653FA4" w14:textId="6CBB0CCC" w:rsidR="0099150E" w:rsidRDefault="0099150E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E4721A9" w14:textId="706E58FD" w:rsidR="0099150E" w:rsidRDefault="00A156B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1.83</w:t>
            </w:r>
          </w:p>
        </w:tc>
      </w:tr>
      <w:tr w:rsidR="00DE4570" w:rsidRPr="00ED4561" w14:paraId="199CB375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D8A12" w14:textId="77777777" w:rsidR="00DE4570" w:rsidRDefault="00DE4570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A06AD68" w14:textId="57573B05" w:rsidR="00DE4570" w:rsidRDefault="00DE4570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D373298" w14:textId="34963C89" w:rsidR="00DE4570" w:rsidRDefault="00C55FE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1.68</w:t>
            </w:r>
          </w:p>
        </w:tc>
      </w:tr>
      <w:tr w:rsidR="00643133" w:rsidRPr="00ED4561" w14:paraId="1746ECB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9C829" w14:textId="77777777" w:rsidR="00643133" w:rsidRDefault="00643133" w:rsidP="00643133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530C8C1" w14:textId="44964915" w:rsidR="00643133" w:rsidRDefault="00643133" w:rsidP="00643133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B925154" w14:textId="37BF3DD0" w:rsidR="00643133" w:rsidRDefault="0064313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1.76</w:t>
            </w:r>
          </w:p>
        </w:tc>
      </w:tr>
      <w:tr w:rsidR="00D172B6" w:rsidRPr="00ED4561" w14:paraId="79D22834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8950E" w14:textId="77777777" w:rsidR="00D172B6" w:rsidRDefault="00D172B6" w:rsidP="00643133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36B459A" w14:textId="005148FF" w:rsidR="00D172B6" w:rsidRDefault="00D172B6" w:rsidP="00643133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5A072D" w14:textId="68B14C44" w:rsidR="00D172B6" w:rsidRDefault="00D172B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1.82</w:t>
            </w:r>
          </w:p>
        </w:tc>
      </w:tr>
      <w:tr w:rsidR="00643133" w:rsidRPr="00ED4561" w14:paraId="4D95E002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9FED6" w14:textId="77777777" w:rsidR="00643133" w:rsidRDefault="00643133" w:rsidP="00643133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221B8D" w14:textId="717AC8CC" w:rsidR="00643133" w:rsidRDefault="00643133" w:rsidP="00643133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87D8D3" w14:textId="0787EADA" w:rsidR="00643133" w:rsidRDefault="00643133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2.0</w:t>
            </w:r>
            <w:r w:rsidR="007F7631">
              <w:rPr>
                <w:rFonts w:cs="Arial"/>
                <w:szCs w:val="18"/>
              </w:rPr>
              <w:t>4</w:t>
            </w:r>
          </w:p>
        </w:tc>
      </w:tr>
      <w:tr w:rsidR="00D81989" w:rsidRPr="00ED4561" w14:paraId="4E506B6D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D3951" w14:textId="3CAD2044" w:rsidR="00F67B5E" w:rsidRDefault="00697EC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D5CBDCD" w14:textId="3DFBE9CD" w:rsidR="00F67B5E" w:rsidRDefault="00D81989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9EA5876" w14:textId="486AA2FF" w:rsidR="00F67B5E" w:rsidRDefault="00D8198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</w:t>
            </w:r>
            <w:r w:rsidR="009134E1">
              <w:rPr>
                <w:rFonts w:cs="Arial"/>
                <w:szCs w:val="18"/>
              </w:rPr>
              <w:t>78</w:t>
            </w:r>
          </w:p>
        </w:tc>
      </w:tr>
      <w:tr w:rsidR="00D172B6" w:rsidRPr="00ED4561" w14:paraId="68B4A4F7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E7BA6" w14:textId="77777777" w:rsidR="00D172B6" w:rsidRDefault="00D172B6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74A6193" w14:textId="4E4412DB" w:rsidR="00D172B6" w:rsidRDefault="00D172B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B8E2F2E" w14:textId="30C2A677" w:rsidR="00D172B6" w:rsidRDefault="00D172B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1.78</w:t>
            </w:r>
          </w:p>
        </w:tc>
      </w:tr>
      <w:tr w:rsidR="0002276D" w:rsidRPr="00ED4561" w14:paraId="767CCE8A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7DEAC" w14:textId="77777777" w:rsidR="0002276D" w:rsidRDefault="0002276D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63643EC" w14:textId="2BE1A6D7" w:rsidR="0002276D" w:rsidRDefault="0002276D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AD8B3F6" w14:textId="13B763FE" w:rsidR="0002276D" w:rsidRDefault="0002276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1.87</w:t>
            </w:r>
          </w:p>
        </w:tc>
      </w:tr>
      <w:tr w:rsidR="0032328C" w:rsidRPr="00ED4561" w14:paraId="77274D25" w14:textId="77777777" w:rsidTr="005C511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14BA8" w14:textId="77777777" w:rsidR="0032328C" w:rsidRDefault="0032328C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E403F94" w14:textId="57D32B1A" w:rsidR="0032328C" w:rsidRDefault="0032328C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1D3D88C" w14:textId="35F0DAEE" w:rsidR="0032328C" w:rsidRDefault="0032328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1.89</w:t>
            </w:r>
          </w:p>
        </w:tc>
      </w:tr>
      <w:tr w:rsidR="005C5119" w:rsidRPr="00ED4561" w14:paraId="4829FAAA" w14:textId="77777777" w:rsidTr="009908BD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703D2" w14:textId="77777777" w:rsidR="005C5119" w:rsidRDefault="005C5119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9A5605" w14:textId="3A14DF6A" w:rsidR="005C5119" w:rsidRDefault="005C5119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CE2E9A4" w14:textId="27299490" w:rsidR="005C5119" w:rsidRDefault="005C511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2.13</w:t>
            </w:r>
          </w:p>
        </w:tc>
      </w:tr>
      <w:tr w:rsidR="009908BD" w:rsidRPr="00ED4561" w14:paraId="0CD38384" w14:textId="77777777" w:rsidTr="0054271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677A3" w14:textId="77777777" w:rsidR="009908BD" w:rsidRDefault="009908BD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E985253" w14:textId="5B297669" w:rsidR="009908BD" w:rsidRDefault="009908BD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49B1723" w14:textId="4498D6B9" w:rsidR="009908BD" w:rsidRDefault="009908B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2.00</w:t>
            </w:r>
          </w:p>
        </w:tc>
      </w:tr>
      <w:tr w:rsidR="00542719" w:rsidRPr="00ED4561" w14:paraId="37BF1C4F" w14:textId="77777777" w:rsidTr="00B02330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0445D" w14:textId="77777777" w:rsidR="00542719" w:rsidRDefault="00542719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FEB7A54" w14:textId="2A13AC23" w:rsidR="00542719" w:rsidRDefault="00542719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7C0BA7C" w14:textId="75DF4709" w:rsidR="00542719" w:rsidRDefault="0054271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2.00</w:t>
            </w:r>
          </w:p>
        </w:tc>
      </w:tr>
      <w:tr w:rsidR="00B02330" w:rsidRPr="00ED4561" w14:paraId="58E59BAB" w14:textId="77777777" w:rsidTr="00180A81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F0EB5" w14:textId="77777777" w:rsidR="00B02330" w:rsidRDefault="00B02330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B40B2D" w14:textId="6F40993E" w:rsidR="00B02330" w:rsidRDefault="00B02330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41D7385" w14:textId="4BB8E5C7" w:rsidR="00B02330" w:rsidRDefault="00B02330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1.91</w:t>
            </w:r>
          </w:p>
        </w:tc>
      </w:tr>
      <w:tr w:rsidR="00180A81" w:rsidRPr="00ED4561" w14:paraId="35555FBD" w14:textId="77777777" w:rsidTr="00DD072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BFBB4" w14:textId="77777777" w:rsidR="00180A81" w:rsidRDefault="00180A81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2E3F378" w14:textId="547DDD0E" w:rsidR="00180A81" w:rsidRDefault="00180A81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E001C96" w14:textId="586DF9B3" w:rsidR="00180A81" w:rsidRDefault="00180A81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1.89</w:t>
            </w:r>
          </w:p>
        </w:tc>
      </w:tr>
      <w:tr w:rsidR="00DD0729" w:rsidRPr="00ED4561" w14:paraId="125311C2" w14:textId="77777777" w:rsidTr="009A3A4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904DD" w14:textId="77777777" w:rsidR="00DD0729" w:rsidRDefault="00DD0729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36C65C1" w14:textId="7B05292B" w:rsidR="00DD0729" w:rsidRDefault="00DD0729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08891EE" w14:textId="21B0D5DF" w:rsidR="00DD0729" w:rsidRDefault="00DD072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1.93</w:t>
            </w:r>
          </w:p>
        </w:tc>
      </w:tr>
      <w:tr w:rsidR="009A3A49" w:rsidRPr="00ED4561" w14:paraId="6C3FC689" w14:textId="77777777" w:rsidTr="00AF13B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6D822" w14:textId="77777777" w:rsidR="009A3A49" w:rsidRDefault="009A3A49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DFE7249" w14:textId="21527A44" w:rsidR="009A3A49" w:rsidRDefault="009A3A49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5731D81" w14:textId="6810F743" w:rsidR="009A3A49" w:rsidRDefault="009A3A49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2.18</w:t>
            </w:r>
          </w:p>
        </w:tc>
      </w:tr>
      <w:tr w:rsidR="00AF13BC" w:rsidRPr="00ED4561" w14:paraId="56E35BC7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E1E9F" w14:textId="77777777" w:rsidR="00AF13BC" w:rsidRDefault="00AF13BC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799C85" w14:textId="1183CC98" w:rsidR="00AF13BC" w:rsidRDefault="00AF13BC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765D3B" w14:textId="3DAA922F" w:rsidR="00AF13BC" w:rsidRDefault="00AF13BC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1.75</w:t>
            </w:r>
          </w:p>
        </w:tc>
      </w:tr>
      <w:tr w:rsidR="00697EC6" w:rsidRPr="00ED4561" w14:paraId="4C3B16DC" w14:textId="77777777" w:rsidTr="007A095F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AFC8F" w14:textId="2264047F" w:rsidR="00697EC6" w:rsidRDefault="00697EC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2021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97ABC7" w14:textId="17F8927C" w:rsidR="00697EC6" w:rsidRDefault="00697EC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2A5C31E" w14:textId="514C3A6E" w:rsidR="00697EC6" w:rsidRDefault="00697EC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1.75</w:t>
            </w:r>
          </w:p>
        </w:tc>
      </w:tr>
      <w:tr w:rsidR="007A095F" w:rsidRPr="00ED4561" w14:paraId="0316EB2D" w14:textId="77777777" w:rsidTr="002F57BD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EE80C" w14:textId="77777777" w:rsidR="007A095F" w:rsidRDefault="007A095F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FD9032D" w14:textId="47C8FD06" w:rsidR="007A095F" w:rsidRDefault="007A095F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35BC810" w14:textId="1D8B77F2" w:rsidR="007A095F" w:rsidRDefault="007A095F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1.74</w:t>
            </w:r>
          </w:p>
        </w:tc>
      </w:tr>
      <w:tr w:rsidR="002F57BD" w:rsidRPr="00ED4561" w14:paraId="68688BEA" w14:textId="77777777" w:rsidTr="00C44AAA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DF5D4" w14:textId="77777777" w:rsidR="002F57BD" w:rsidRDefault="002F57BD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5CCB94A" w14:textId="7AE45471" w:rsidR="002F57BD" w:rsidRDefault="002F57BD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9ED1C6F" w14:textId="65A2E4A5" w:rsidR="002F57BD" w:rsidRDefault="002F57BD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1.69</w:t>
            </w:r>
          </w:p>
        </w:tc>
      </w:tr>
      <w:tr w:rsidR="00C44AAA" w:rsidRPr="00ED4561" w14:paraId="65D62949" w14:textId="77777777" w:rsidTr="00DA601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86DE0" w14:textId="77777777" w:rsidR="00C44AAA" w:rsidRDefault="00C44AAA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3ABE078" w14:textId="5CBDB9AF" w:rsidR="00C44AAA" w:rsidRDefault="00C44AAA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3CF6158" w14:textId="0333D545" w:rsidR="00C44AAA" w:rsidRDefault="00C44AAA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1.78</w:t>
            </w:r>
          </w:p>
        </w:tc>
      </w:tr>
      <w:tr w:rsidR="00DA6016" w:rsidRPr="00ED4561" w14:paraId="71BB4383" w14:textId="77777777" w:rsidTr="00645445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5B0E2" w14:textId="77777777" w:rsidR="00DA6016" w:rsidRDefault="00DA6016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DBFCAB4" w14:textId="1DE50FDB" w:rsidR="00DA6016" w:rsidRDefault="00DA6016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1D05E37" w14:textId="5AD3E99A" w:rsidR="00DA6016" w:rsidRDefault="00DA6016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1.80</w:t>
            </w:r>
          </w:p>
        </w:tc>
      </w:tr>
      <w:tr w:rsidR="00645445" w:rsidRPr="00ED4561" w14:paraId="4CEA4990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BAA8F" w14:textId="77777777" w:rsidR="00645445" w:rsidRDefault="00645445" w:rsidP="00D81989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FAFF73" w14:textId="7C1E06AC" w:rsidR="00645445" w:rsidRDefault="00645445" w:rsidP="00D81989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26ADE7" w14:textId="1D6F0BA4" w:rsidR="00645445" w:rsidRDefault="00645445" w:rsidP="00D172B6">
            <w:pPr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1.78</w:t>
            </w:r>
          </w:p>
        </w:tc>
      </w:tr>
      <w:tr w:rsidR="00A04EE3" w:rsidRPr="00ED4561" w14:paraId="21342AE1" w14:textId="77777777" w:rsidTr="00D172B6">
        <w:trPr>
          <w:trHeight w:val="288"/>
        </w:trPr>
        <w:tc>
          <w:tcPr>
            <w:tcW w:w="47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57F131" w14:textId="77777777" w:rsidR="00A04EE3" w:rsidRPr="00ED4561" w:rsidRDefault="00A04EE3" w:rsidP="00D81989">
            <w:pPr>
              <w:autoSpaceDE/>
              <w:autoSpaceDN/>
              <w:spacing w:before="40"/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spellStart"/>
            <w:r w:rsidRPr="00ED4561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r w:rsidRPr="00ED4561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D4561">
              <w:rPr>
                <w:rFonts w:eastAsia="Times New Roman" w:cs="Arial"/>
                <w:color w:val="000000"/>
                <w:sz w:val="16"/>
                <w:szCs w:val="16"/>
              </w:rPr>
              <w:t>The</w:t>
            </w:r>
            <w:proofErr w:type="gramEnd"/>
            <w:r w:rsidRPr="00ED4561">
              <w:rPr>
                <w:rFonts w:eastAsia="Times New Roman" w:cs="Arial"/>
                <w:color w:val="000000"/>
                <w:sz w:val="16"/>
                <w:szCs w:val="16"/>
              </w:rPr>
              <w:t xml:space="preserve"> percentage of the total outstanding balance of FHA-insured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residential care</w:t>
            </w:r>
            <w:r w:rsidRPr="00ED4561">
              <w:rPr>
                <w:rFonts w:eastAsia="Times New Roman" w:cs="Arial"/>
                <w:color w:val="000000"/>
                <w:sz w:val="16"/>
                <w:szCs w:val="16"/>
              </w:rPr>
              <w:t xml:space="preserve"> loans that are 60 days or more past due.</w:t>
            </w:r>
          </w:p>
          <w:p w14:paraId="01CC99C7" w14:textId="75A0C000" w:rsidR="00A04EE3" w:rsidRPr="00ED4561" w:rsidRDefault="004F0924" w:rsidP="00D81989">
            <w:pPr>
              <w:autoSpaceDE/>
              <w:autoSpaceDN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378E2AF7" w14:textId="77777777" w:rsidR="0020024B" w:rsidRDefault="0020024B" w:rsidP="00ED4561">
      <w:pPr>
        <w:spacing w:before="40"/>
        <w:jc w:val="center"/>
        <w:rPr>
          <w:rFonts w:cs="Arial"/>
          <w:sz w:val="16"/>
          <w:szCs w:val="16"/>
        </w:rPr>
      </w:pPr>
    </w:p>
    <w:p w14:paraId="4B954262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5563594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E55CA56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53F9FE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6D5286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24F785C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2CC80171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71AFEAE9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0465D2F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20A1D1A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1DAFEF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2F8EEA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B42397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AFF66B4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E2175AE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2806636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7F4C4DF1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2BFE877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CB7DDAD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9DE456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4A9450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7F9BD1A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A6EFE6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7EAAE77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875BF72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7E0F091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5923A6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24BCCC06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4E96594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16250D8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6DB4CA4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DB35EA8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9BEDF7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DEA572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83BDB99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11B371A9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F71DE4F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033618E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2DF5A66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591D67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79745F5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4F45C46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6B77D19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386D5E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BE4141F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EB02785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54B3557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D77004E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30B877D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745D14D1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E728A46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30AAEC1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2BCC51A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7DED858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0DFEE18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4920F970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259425B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EB19F78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3F988BFB" w14:textId="1986854A" w:rsidR="00853D41" w:rsidRPr="007A2C1A" w:rsidRDefault="00853D41" w:rsidP="00853D41">
      <w:pPr>
        <w:pStyle w:val="Caption"/>
        <w:keepNext/>
        <w:jc w:val="center"/>
        <w:rPr>
          <w:rFonts w:cs="Arial"/>
          <w:b/>
          <w:i w:val="0"/>
          <w:color w:val="auto"/>
          <w:sz w:val="20"/>
          <w:szCs w:val="20"/>
        </w:rPr>
      </w:pPr>
      <w:bookmarkStart w:id="19" w:name="_Toc512950738"/>
      <w:r w:rsidRPr="007A2C1A">
        <w:rPr>
          <w:rFonts w:cs="Arial"/>
          <w:b/>
          <w:i w:val="0"/>
          <w:color w:val="auto"/>
          <w:sz w:val="20"/>
          <w:szCs w:val="20"/>
        </w:rPr>
        <w:lastRenderedPageBreak/>
        <w:t xml:space="preserve">Figure </w: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7A2C1A">
        <w:rPr>
          <w:rFonts w:cs="Arial"/>
          <w:b/>
          <w:i w:val="0"/>
          <w:color w:val="auto"/>
          <w:sz w:val="20"/>
          <w:szCs w:val="20"/>
        </w:rPr>
        <w:instrText xml:space="preserve"> SEQ Figure \* ARABIC </w:instrTex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="00E3436F">
        <w:rPr>
          <w:rFonts w:cs="Arial"/>
          <w:b/>
          <w:i w:val="0"/>
          <w:noProof/>
          <w:color w:val="auto"/>
          <w:sz w:val="20"/>
          <w:szCs w:val="20"/>
        </w:rPr>
        <w:t>6</w:t>
      </w:r>
      <w:r w:rsidRPr="007A2C1A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7A2C1A">
        <w:rPr>
          <w:rFonts w:cs="Arial"/>
          <w:b/>
          <w:i w:val="0"/>
          <w:color w:val="auto"/>
          <w:sz w:val="20"/>
          <w:szCs w:val="20"/>
        </w:rPr>
        <w:t xml:space="preserve">: </w:t>
      </w:r>
      <w:r w:rsidR="005037AD" w:rsidRPr="005037AD">
        <w:rPr>
          <w:rFonts w:cs="Arial"/>
          <w:b/>
          <w:i w:val="0"/>
          <w:color w:val="auto"/>
          <w:sz w:val="20"/>
          <w:szCs w:val="20"/>
        </w:rPr>
        <w:t xml:space="preserve">FHA Residential Care Facilities </w:t>
      </w:r>
      <w:r w:rsidRPr="007A2C1A">
        <w:rPr>
          <w:rFonts w:cs="Arial"/>
          <w:b/>
          <w:i w:val="0"/>
          <w:color w:val="auto"/>
          <w:sz w:val="20"/>
          <w:szCs w:val="20"/>
        </w:rPr>
        <w:t>Default UPB and Count</w:t>
      </w:r>
      <w:r w:rsidR="009E5156">
        <w:rPr>
          <w:rFonts w:cs="Arial"/>
          <w:b/>
          <w:i w:val="0"/>
          <w:color w:val="auto"/>
          <w:sz w:val="20"/>
          <w:szCs w:val="20"/>
        </w:rPr>
        <w:t>,</w:t>
      </w:r>
      <w:r>
        <w:rPr>
          <w:rFonts w:cs="Arial"/>
          <w:b/>
          <w:i w:val="0"/>
          <w:color w:val="auto"/>
          <w:sz w:val="20"/>
          <w:szCs w:val="20"/>
        </w:rPr>
        <w:t xml:space="preserve"> Last 2 Years</w:t>
      </w:r>
      <w:bookmarkEnd w:id="19"/>
    </w:p>
    <w:p w14:paraId="03270A43" w14:textId="6501DD4F" w:rsidR="00853D41" w:rsidRDefault="0019752D" w:rsidP="00853D41">
      <w:pPr>
        <w:spacing w:before="40"/>
        <w:rPr>
          <w:rFonts w:cs="Arial"/>
          <w:sz w:val="16"/>
          <w:szCs w:val="16"/>
        </w:rPr>
      </w:pPr>
      <w:r>
        <w:rPr>
          <w:noProof/>
        </w:rPr>
        <w:drawing>
          <wp:inline distT="0" distB="0" distL="0" distR="0" wp14:anchorId="139404B5" wp14:editId="63C0F2F2">
            <wp:extent cx="6858000" cy="4114800"/>
            <wp:effectExtent l="0" t="0" r="0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456F6B2E-1231-45E1-83DA-5C522295A8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175836">
        <w:rPr>
          <w:rFonts w:cs="Arial"/>
          <w:sz w:val="16"/>
          <w:szCs w:val="16"/>
        </w:rPr>
        <w:br/>
      </w:r>
      <w:r w:rsidR="005037AD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5037A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153D9E53" w14:textId="77777777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</w:pPr>
    </w:p>
    <w:p w14:paraId="695DCD6F" w14:textId="0BC1649D" w:rsidR="00853D41" w:rsidRDefault="00853D41" w:rsidP="00ED4561">
      <w:pPr>
        <w:spacing w:before="40"/>
        <w:jc w:val="center"/>
        <w:rPr>
          <w:rFonts w:cs="Arial"/>
          <w:sz w:val="16"/>
          <w:szCs w:val="16"/>
        </w:rPr>
        <w:sectPr w:rsidR="00853D41" w:rsidSect="00744218">
          <w:pgSz w:w="12240" w:h="15840" w:code="1"/>
          <w:pgMar w:top="720" w:right="720" w:bottom="720" w:left="720" w:header="720" w:footer="432" w:gutter="0"/>
          <w:cols w:space="720"/>
          <w:docGrid w:linePitch="272"/>
        </w:sectPr>
      </w:pPr>
    </w:p>
    <w:tbl>
      <w:tblPr>
        <w:tblpPr w:leftFromText="187" w:rightFromText="187" w:vertAnchor="page" w:tblpXSpec="center" w:tblpY="1801"/>
        <w:tblOverlap w:val="never"/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28"/>
        <w:gridCol w:w="1872"/>
        <w:gridCol w:w="1872"/>
      </w:tblGrid>
      <w:tr w:rsidR="000B2033" w:rsidRPr="000B2033" w14:paraId="46047D57" w14:textId="77777777" w:rsidTr="0015022C">
        <w:trPr>
          <w:cantSplit/>
          <w:trHeight w:val="576"/>
          <w:tblHeader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9F080B" w14:textId="77777777" w:rsidR="000B2033" w:rsidRPr="000B2033" w:rsidRDefault="000B2033" w:rsidP="00F32BD2">
            <w:pPr>
              <w:pStyle w:val="Heading1"/>
              <w:rPr>
                <w:sz w:val="24"/>
                <w:szCs w:val="24"/>
              </w:rPr>
            </w:pPr>
            <w:bookmarkStart w:id="20" w:name="_Toc512950706"/>
            <w:r w:rsidRPr="000B2033">
              <w:lastRenderedPageBreak/>
              <w:t xml:space="preserve">Table </w:t>
            </w:r>
            <w:r>
              <w:t>7</w:t>
            </w:r>
            <w:r w:rsidRPr="000B2033">
              <w:t>. FHA Hospital</w:t>
            </w:r>
            <w:r>
              <w:t xml:space="preserve"> Facilities</w:t>
            </w:r>
            <w:r w:rsidRPr="000B2033">
              <w:t xml:space="preserve"> Insured Portfolio, Transitions within Portfolio</w:t>
            </w:r>
            <w:bookmarkEnd w:id="20"/>
          </w:p>
        </w:tc>
      </w:tr>
      <w:tr w:rsidR="0015022C" w:rsidRPr="000B2033" w14:paraId="7FCA406B" w14:textId="77777777" w:rsidTr="0015022C">
        <w:trPr>
          <w:cantSplit/>
          <w:trHeight w:val="432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549494C" w14:textId="77777777" w:rsidR="0015022C" w:rsidRPr="000B2033" w:rsidRDefault="0015022C" w:rsidP="0015022C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 w:rsidRPr="000B2033">
              <w:rPr>
                <w:rFonts w:cs="Arial"/>
                <w:b/>
                <w:bCs/>
                <w:color w:val="000000"/>
                <w:szCs w:val="18"/>
              </w:rPr>
              <w:t>Insured Portfolio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78DC884" w14:textId="77777777" w:rsidR="0015022C" w:rsidRPr="000B2033" w:rsidRDefault="0015022C" w:rsidP="0015022C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525CF9" w14:textId="77777777" w:rsidR="0015022C" w:rsidRPr="000B2033" w:rsidRDefault="0015022C" w:rsidP="0015022C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Loan Balance</w:t>
            </w:r>
          </w:p>
          <w:p w14:paraId="73C5A14F" w14:textId="77777777" w:rsidR="0015022C" w:rsidRPr="000B2033" w:rsidRDefault="0015022C" w:rsidP="0015022C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 ($ </w:t>
            </w:r>
            <w:r w:rsidRPr="0015022C">
              <w:rPr>
                <w:rFonts w:cs="Arial"/>
                <w:color w:val="000000"/>
                <w:szCs w:val="18"/>
              </w:rPr>
              <w:t>millions</w:t>
            </w:r>
            <w:r w:rsidRPr="000B2033">
              <w:rPr>
                <w:rFonts w:cs="Arial"/>
                <w:color w:val="000000"/>
                <w:szCs w:val="18"/>
              </w:rPr>
              <w:t>)</w:t>
            </w:r>
          </w:p>
        </w:tc>
      </w:tr>
      <w:tr w:rsidR="00645445" w:rsidRPr="000B2033" w14:paraId="2ADCBD72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D16384B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Insurance in Force (Beginning)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87A4C9F" w14:textId="233A607E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6DA2C27" w14:textId="0B4B3CEC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6,007.1</w:t>
            </w:r>
          </w:p>
        </w:tc>
      </w:tr>
      <w:tr w:rsidR="00645445" w:rsidRPr="000B2033" w14:paraId="327ACA8C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15C79D4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Terminations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3BABBCC" w14:textId="492A8C6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DC3254D" w14:textId="066A74B3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(47.1)</w:t>
            </w:r>
          </w:p>
        </w:tc>
      </w:tr>
      <w:tr w:rsidR="00645445" w:rsidRPr="000B2033" w14:paraId="38287B09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B932F4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Claims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AE4892A" w14:textId="049BAB46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C6EF7E3" w14:textId="01E70378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A13F84D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404CB42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Regular Claim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6F6654A" w14:textId="4BD5D191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989834" w14:textId="6E213343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3E05F21F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B299416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Mark to Market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5230269" w14:textId="61140886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B2037B6" w14:textId="568301A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6CDE639D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526612A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Partial Payment Claim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C6A29D4" w14:textId="0EA3F09B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FD36BE0" w14:textId="665B5683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37E742FD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AA065F6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Maturity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67465CE" w14:textId="42CD0FAE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A728F11" w14:textId="45863AA3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3ECD407B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E01A626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Prepayment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4FC928" w14:textId="780560F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(2)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FE4FD10" w14:textId="4AD27935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(47.1)</w:t>
            </w:r>
          </w:p>
        </w:tc>
      </w:tr>
      <w:tr w:rsidR="00645445" w:rsidRPr="000B2033" w14:paraId="40A58795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32F774A" w14:textId="77777777" w:rsidR="00645445" w:rsidRPr="00551B4C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551B4C">
              <w:rPr>
                <w:rFonts w:cs="Arial"/>
                <w:color w:val="000000"/>
                <w:szCs w:val="18"/>
              </w:rPr>
              <w:t>Refinanced with FHA Loans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F002C19" w14:textId="7125580D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4A8893C" w14:textId="358FB1F8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0E25E15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94F2F3B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Endorsements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DD3A494" w14:textId="1A8C1B2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B5D99CF" w14:textId="30C48AAF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366.2</w:t>
            </w:r>
          </w:p>
        </w:tc>
      </w:tr>
      <w:tr w:rsidR="00645445" w:rsidRPr="000B2033" w14:paraId="3454FBA3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7403B33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Business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62BD8D6" w14:textId="1E13E38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B2A6441" w14:textId="1360300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2499EC1B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B4676E1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  <w:vertAlign w:val="superscript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242 Construction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94B6756" w14:textId="13234D78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CC820A9" w14:textId="0F65EDB1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71EECE8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0039343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241 Construction or Addition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43547CE" w14:textId="788983CD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B109B33" w14:textId="5DD973AA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44A6428C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8738A5F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223(a)(7) Refinancing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39055BA" w14:textId="2E6058A0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33573BF" w14:textId="22284CE7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71A0287C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953DEBC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223(f) Refinancing or Acquisition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1949F06" w14:textId="4B6D5B2F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DA58305" w14:textId="411914FD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1C7A5687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83E1CCD" w14:textId="77777777" w:rsidR="00645445" w:rsidRPr="000B2033" w:rsidRDefault="00645445" w:rsidP="00645445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Refinance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1E3B2C5" w14:textId="10DBEF9E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74E28A7" w14:textId="4A766DAB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366.2</w:t>
            </w:r>
          </w:p>
        </w:tc>
      </w:tr>
      <w:tr w:rsidR="00645445" w:rsidRPr="000B2033" w14:paraId="6AC60645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C5633F0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223(a)(7) Refinancing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2134F30" w14:textId="6690794C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9D1A57A" w14:textId="04E92A01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45445" w:rsidRPr="000B2033" w14:paraId="37DB927C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9EB73CF" w14:textId="77777777" w:rsidR="00645445" w:rsidRPr="000B2033" w:rsidRDefault="00645445" w:rsidP="00645445">
            <w:pPr>
              <w:adjustRightInd w:val="0"/>
              <w:ind w:firstLine="432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223(f) Refinancing or Acquisition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 w:rsidRPr="000B2033">
              <w:rPr>
                <w:rFonts w:cs="Arial"/>
                <w:color w:val="000000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8C6B805" w14:textId="2B13A4EF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A8E8045" w14:textId="640E4BBD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366.2</w:t>
            </w:r>
          </w:p>
        </w:tc>
      </w:tr>
      <w:tr w:rsidR="00645445" w:rsidRPr="000B2033" w14:paraId="6CCA6429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D8F7A75" w14:textId="77777777" w:rsidR="00645445" w:rsidRPr="000B2033" w:rsidRDefault="00645445" w:rsidP="00645445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459CB6D" w14:textId="28B60DD8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3DDBDE3" w14:textId="40095045" w:rsidR="00645445" w:rsidRPr="003F6B98" w:rsidRDefault="00645445" w:rsidP="00645445">
            <w:pPr>
              <w:adjustRightInd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</w:rPr>
              <w:t>(21.6)</w:t>
            </w:r>
          </w:p>
        </w:tc>
      </w:tr>
      <w:tr w:rsidR="00645445" w:rsidRPr="000B2033" w14:paraId="18790136" w14:textId="77777777" w:rsidTr="00645445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7169AA" w14:textId="77777777" w:rsidR="00645445" w:rsidRPr="000B2033" w:rsidRDefault="00645445" w:rsidP="00645445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Insurance in Force (Ending)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8EF6078" w14:textId="3D0A3FB6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254C0E5" w14:textId="691EA301" w:rsidR="00645445" w:rsidRPr="007772C7" w:rsidRDefault="00645445" w:rsidP="00645445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6,304.6</w:t>
            </w:r>
          </w:p>
        </w:tc>
      </w:tr>
      <w:tr w:rsidR="00AF13BC" w:rsidRPr="000B2033" w14:paraId="10984D53" w14:textId="77777777" w:rsidTr="00AF13BC">
        <w:trPr>
          <w:cantSplit/>
          <w:trHeight w:val="432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303D4B" w14:textId="77777777" w:rsidR="00AF13BC" w:rsidRPr="000B2033" w:rsidRDefault="00AF13BC" w:rsidP="00AF13BC">
            <w:pPr>
              <w:adjustRightInd w:val="0"/>
              <w:rPr>
                <w:rFonts w:cs="Arial"/>
                <w:b/>
                <w:bCs/>
                <w:color w:val="000000"/>
                <w:szCs w:val="18"/>
              </w:rPr>
            </w:pPr>
            <w:r w:rsidRPr="000B2033">
              <w:rPr>
                <w:rFonts w:cs="Arial"/>
                <w:b/>
                <w:bCs/>
                <w:color w:val="000000"/>
                <w:szCs w:val="18"/>
              </w:rPr>
              <w:t>Defaults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6AC6DCA" w14:textId="77777777" w:rsidR="00AF13BC" w:rsidRPr="00D85E1D" w:rsidRDefault="00AF13BC" w:rsidP="00AF13BC">
            <w:pPr>
              <w:jc w:val="right"/>
              <w:rPr>
                <w:rFonts w:cs="Arial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FFCCEDA" w14:textId="4A8F220D" w:rsidR="00AF13BC" w:rsidRPr="00D85E1D" w:rsidRDefault="00AF13BC" w:rsidP="00AF13B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.</w:t>
            </w:r>
          </w:p>
        </w:tc>
      </w:tr>
      <w:tr w:rsidR="00E26312" w:rsidRPr="000B2033" w14:paraId="79FD4B84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DDB319C" w14:textId="77777777" w:rsidR="00E26312" w:rsidRPr="000B2033" w:rsidRDefault="00E26312" w:rsidP="00E26312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60+ Day Defaults (Beginning)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D0AF9F4" w14:textId="093D76FE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923B5AB" w14:textId="311CF239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2BAAC1F9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5470476" w14:textId="77777777" w:rsidR="00E26312" w:rsidRPr="000B2033" w:rsidRDefault="00E26312" w:rsidP="00E26312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No Longer in Default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082DFF0" w14:textId="1C11B7CD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7D5AF17" w14:textId="1347252B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1CD98A9D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0E04546" w14:textId="77777777" w:rsidR="00E26312" w:rsidRPr="000B2033" w:rsidRDefault="00E26312" w:rsidP="00E26312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Reinstated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6CE63C6" w14:textId="0CC70DB9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6D6787F" w14:textId="297E33B6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1CFB8DEC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A760DB" w14:textId="77777777" w:rsidR="00E26312" w:rsidRPr="000B2033" w:rsidRDefault="00E26312" w:rsidP="00E26312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Default to Delinquent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03B97C4" w14:textId="39865D67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939E463" w14:textId="64E89BD7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2B445EB2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980560C" w14:textId="77777777" w:rsidR="00E26312" w:rsidRPr="000B2033" w:rsidRDefault="00E26312" w:rsidP="00E26312">
            <w:pPr>
              <w:adjustRightInd w:val="0"/>
              <w:ind w:firstLine="288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Terminated Defaults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B71F6DB" w14:textId="477CDAB0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E1809FF" w14:textId="3CCE5A81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03A807D6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8F18B3B" w14:textId="77777777" w:rsidR="00E26312" w:rsidRPr="000B2033" w:rsidRDefault="00E26312" w:rsidP="00E26312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Continuing Defaults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5775BF4" w14:textId="767CC995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F0F93DB" w14:textId="50FA4F56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E26312" w:rsidRPr="000B2033" w14:paraId="251BBEF2" w14:textId="77777777" w:rsidTr="00E26312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4156F6" w14:textId="77777777" w:rsidR="00E26312" w:rsidRPr="000B2033" w:rsidRDefault="00E26312" w:rsidP="00E26312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New 60+ Day Defaults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5B1FA60" w14:textId="1A12E79E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7DF1B00" w14:textId="27E195B1" w:rsidR="00E26312" w:rsidRPr="00BD75D0" w:rsidRDefault="00E26312" w:rsidP="00E26312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5D694C" w:rsidRPr="000B2033" w14:paraId="5E8FD514" w14:textId="77777777" w:rsidTr="005D694C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4790BA1" w14:textId="77777777" w:rsidR="005D694C" w:rsidRPr="000B2033" w:rsidRDefault="005D694C" w:rsidP="005D694C">
            <w:pPr>
              <w:adjustRightInd w:val="0"/>
              <w:ind w:firstLine="144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Amortization / Principal Reduction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2BFDE6E" w14:textId="5458F94D" w:rsidR="005D694C" w:rsidRPr="00BD75D0" w:rsidRDefault="005D694C" w:rsidP="005D694C">
            <w:pPr>
              <w:jc w:val="right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na</w:t>
            </w:r>
            <w:proofErr w:type="spellEnd"/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5C4EB9E" w14:textId="0D9AB134" w:rsidR="005D694C" w:rsidRPr="00BD75D0" w:rsidRDefault="005D694C" w:rsidP="005D694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5D694C" w:rsidRPr="000B2033" w14:paraId="69B129FF" w14:textId="77777777" w:rsidTr="005D694C">
        <w:trPr>
          <w:cantSplit/>
          <w:trHeight w:val="288"/>
        </w:trPr>
        <w:tc>
          <w:tcPr>
            <w:tcW w:w="53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EEE4172" w14:textId="77777777" w:rsidR="005D694C" w:rsidRPr="000B2033" w:rsidRDefault="005D694C" w:rsidP="005D694C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60+ Day Defaults (Ending)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551A2CF" w14:textId="5461702D" w:rsidR="005D694C" w:rsidRPr="00BD75D0" w:rsidRDefault="005D694C" w:rsidP="005D694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7DFA45C" w14:textId="1E0F3BC7" w:rsidR="005D694C" w:rsidRPr="00BD75D0" w:rsidRDefault="005D694C" w:rsidP="005D694C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890625" w:rsidRPr="000B2033" w14:paraId="4B5CD67F" w14:textId="77777777" w:rsidTr="0015022C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CA50DE7" w14:textId="77777777" w:rsidR="00890625" w:rsidRDefault="00890625" w:rsidP="00890625">
            <w:pPr>
              <w:keepNext/>
              <w:adjustRightInd w:val="0"/>
              <w:spacing w:before="40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0B2033">
              <w:rPr>
                <w:rFonts w:cs="Arial"/>
                <w:color w:val="000000"/>
                <w:sz w:val="16"/>
                <w:szCs w:val="16"/>
              </w:rPr>
              <w:t>na</w:t>
            </w:r>
            <w:proofErr w:type="spellEnd"/>
            <w:r w:rsidRPr="000B2033">
              <w:rPr>
                <w:rFonts w:cs="Arial"/>
                <w:color w:val="000000"/>
                <w:sz w:val="16"/>
                <w:szCs w:val="16"/>
              </w:rPr>
              <w:t xml:space="preserve"> = not applicable.</w:t>
            </w:r>
          </w:p>
          <w:p w14:paraId="731330D4" w14:textId="0C12B6A7" w:rsidR="00A07258" w:rsidRPr="002F57BD" w:rsidRDefault="004522E5" w:rsidP="00A07258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NOTE: </w:t>
            </w:r>
            <w:r w:rsidR="004F0924" w:rsidRPr="004F0924">
              <w:rPr>
                <w:rFonts w:cs="Arial"/>
                <w:sz w:val="16"/>
                <w:szCs w:val="16"/>
              </w:rPr>
              <w:t>Data are for June 2, 2021 – July 2, 2021.</w:t>
            </w:r>
          </w:p>
          <w:p w14:paraId="42453405" w14:textId="77777777" w:rsidR="00890625" w:rsidRDefault="00890625" w:rsidP="00890625">
            <w:pPr>
              <w:rPr>
                <w:rFonts w:cs="Arial"/>
                <w:sz w:val="16"/>
                <w:szCs w:val="16"/>
              </w:rPr>
            </w:pPr>
            <w:r w:rsidRPr="002F57BD">
              <w:rPr>
                <w:rFonts w:cs="Arial"/>
                <w:sz w:val="16"/>
                <w:szCs w:val="16"/>
                <w:vertAlign w:val="superscript"/>
              </w:rPr>
              <w:t xml:space="preserve">a </w:t>
            </w:r>
            <w:r w:rsidRPr="002F57BD">
              <w:rPr>
                <w:rFonts w:cs="Arial"/>
                <w:sz w:val="16"/>
                <w:szCs w:val="16"/>
              </w:rPr>
              <w:t>Section 242: Provides mortgage insurance for acute c</w:t>
            </w:r>
            <w:r>
              <w:rPr>
                <w:rFonts w:cs="Arial"/>
                <w:sz w:val="16"/>
                <w:szCs w:val="16"/>
              </w:rPr>
              <w:t xml:space="preserve">are hospital facility construction loans. </w:t>
            </w:r>
          </w:p>
          <w:p w14:paraId="73E97928" w14:textId="77777777" w:rsidR="00890625" w:rsidRDefault="00890625" w:rsidP="008906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b </w:t>
            </w:r>
            <w:r>
              <w:rPr>
                <w:rFonts w:cs="Arial"/>
                <w:sz w:val="16"/>
                <w:szCs w:val="16"/>
              </w:rPr>
              <w:t>Section 241: Insures mortgage loans to finance repairs, additions, and improvements to hospital facilities with FHA-insured first mortgages or HUD-held mortgages.</w:t>
            </w:r>
          </w:p>
          <w:p w14:paraId="5ED9EF76" w14:textId="77777777" w:rsidR="00890625" w:rsidRDefault="00890625" w:rsidP="008906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c </w:t>
            </w:r>
            <w:r>
              <w:rPr>
                <w:rFonts w:cs="Arial"/>
                <w:sz w:val="16"/>
                <w:szCs w:val="16"/>
              </w:rPr>
              <w:t>Section 223(a)(7): Permits refinancing of an existing loan to reduce interest rate and/or extend amortization period in order to reduce risk of default.</w:t>
            </w:r>
          </w:p>
          <w:p w14:paraId="69C46C7D" w14:textId="77777777" w:rsidR="00890625" w:rsidRDefault="00890625" w:rsidP="00890625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d </w:t>
            </w:r>
            <w:r>
              <w:rPr>
                <w:rFonts w:cs="Arial"/>
                <w:sz w:val="16"/>
                <w:szCs w:val="16"/>
              </w:rPr>
              <w:t>Section 223(f): Insures mortgage loans to facilitate the purchase of a hospital facility or the refinancing of an existing hospital facility loan.</w:t>
            </w:r>
          </w:p>
          <w:p w14:paraId="2F82E375" w14:textId="31A82A63" w:rsidR="00890625" w:rsidRPr="000B2033" w:rsidRDefault="004F0924" w:rsidP="00890625">
            <w:pPr>
              <w:keepNext/>
              <w:adjustRightInd w:val="0"/>
              <w:rPr>
                <w:color w:val="000000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439D9B8E" w14:textId="35245E66" w:rsidR="00A903FC" w:rsidRDefault="00A903FC" w:rsidP="000B1811">
      <w:pPr>
        <w:spacing w:before="40"/>
        <w:jc w:val="center"/>
        <w:rPr>
          <w:rFonts w:cs="Arial"/>
          <w:sz w:val="16"/>
          <w:szCs w:val="16"/>
        </w:rPr>
      </w:pPr>
    </w:p>
    <w:p w14:paraId="1CCA3547" w14:textId="77777777" w:rsidR="00A903FC" w:rsidRDefault="00A903FC" w:rsidP="00752693">
      <w:pPr>
        <w:pStyle w:val="Heading1"/>
      </w:pPr>
      <w:r>
        <w:br w:type="page"/>
      </w:r>
    </w:p>
    <w:p w14:paraId="720ACA7F" w14:textId="3F171187" w:rsidR="001F358E" w:rsidRDefault="001F358E" w:rsidP="001F358E">
      <w:pPr>
        <w:adjustRightInd w:val="0"/>
        <w:jc w:val="center"/>
        <w:rPr>
          <w:rFonts w:cs="Arial"/>
          <w:b/>
        </w:rPr>
      </w:pPr>
      <w:bookmarkStart w:id="21" w:name="_Toc512950739"/>
      <w:r w:rsidRPr="008B171C">
        <w:rPr>
          <w:rFonts w:cs="Arial"/>
          <w:b/>
        </w:rPr>
        <w:lastRenderedPageBreak/>
        <w:t xml:space="preserve">Figure </w:t>
      </w:r>
      <w:r w:rsidRPr="008B171C">
        <w:rPr>
          <w:rFonts w:cs="Arial"/>
          <w:b/>
        </w:rPr>
        <w:fldChar w:fldCharType="begin"/>
      </w:r>
      <w:r w:rsidRPr="008B171C">
        <w:rPr>
          <w:rFonts w:cs="Arial"/>
          <w:b/>
        </w:rPr>
        <w:instrText xml:space="preserve"> SEQ Figure \* ARABIC </w:instrText>
      </w:r>
      <w:r w:rsidRPr="008B171C">
        <w:rPr>
          <w:rFonts w:cs="Arial"/>
          <w:b/>
        </w:rPr>
        <w:fldChar w:fldCharType="separate"/>
      </w:r>
      <w:r w:rsidR="00E3436F">
        <w:rPr>
          <w:rFonts w:cs="Arial"/>
          <w:b/>
          <w:noProof/>
        </w:rPr>
        <w:t>7</w:t>
      </w:r>
      <w:r w:rsidRPr="008B171C">
        <w:rPr>
          <w:rFonts w:cs="Arial"/>
          <w:b/>
        </w:rPr>
        <w:fldChar w:fldCharType="end"/>
      </w:r>
      <w:r w:rsidRPr="008B171C">
        <w:rPr>
          <w:rFonts w:cs="Arial"/>
          <w:b/>
        </w:rPr>
        <w:t xml:space="preserve">: </w:t>
      </w:r>
      <w:r w:rsidR="005037AD" w:rsidRPr="005037AD">
        <w:rPr>
          <w:rFonts w:cs="Arial"/>
          <w:b/>
        </w:rPr>
        <w:t>FHA Hospital Facilities</w:t>
      </w:r>
      <w:r w:rsidRPr="008B171C">
        <w:rPr>
          <w:rFonts w:cs="Arial"/>
          <w:b/>
        </w:rPr>
        <w:t xml:space="preserve"> </w:t>
      </w:r>
      <w:r>
        <w:rPr>
          <w:rFonts w:cs="Arial"/>
          <w:b/>
        </w:rPr>
        <w:t>Insurance-in-Force</w:t>
      </w:r>
      <w:r w:rsidRPr="008B171C">
        <w:rPr>
          <w:rFonts w:cs="Arial"/>
          <w:b/>
        </w:rPr>
        <w:t xml:space="preserve"> and Count</w:t>
      </w:r>
      <w:r>
        <w:rPr>
          <w:rFonts w:cs="Arial"/>
          <w:b/>
        </w:rPr>
        <w:t>, Last 2 Years</w:t>
      </w:r>
      <w:bookmarkEnd w:id="21"/>
    </w:p>
    <w:p w14:paraId="2A98DA62" w14:textId="4E2A3992" w:rsidR="00A903FC" w:rsidRDefault="0019752D" w:rsidP="00CA0047">
      <w:pPr>
        <w:keepNext/>
        <w:adjustRightInd w:val="0"/>
        <w:rPr>
          <w:rFonts w:cs="Arial"/>
          <w:sz w:val="16"/>
          <w:szCs w:val="16"/>
        </w:rPr>
      </w:pPr>
      <w:r>
        <w:rPr>
          <w:noProof/>
        </w:rPr>
        <w:drawing>
          <wp:inline distT="0" distB="0" distL="0" distR="0" wp14:anchorId="44EF7DD1" wp14:editId="708878A8">
            <wp:extent cx="6858000" cy="4114800"/>
            <wp:effectExtent l="0" t="0" r="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042580D3-B4AC-4BE3-8AF8-45C7AB1683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2659A0">
        <w:rPr>
          <w:rFonts w:cs="Arial"/>
          <w:sz w:val="16"/>
          <w:szCs w:val="16"/>
        </w:rPr>
        <w:br/>
      </w:r>
      <w:r w:rsidR="005037AD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5037A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p w14:paraId="4126F21F" w14:textId="02A64576" w:rsidR="0020024B" w:rsidRDefault="005C5119" w:rsidP="005C5119">
      <w:pPr>
        <w:tabs>
          <w:tab w:val="left" w:pos="3090"/>
        </w:tabs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</w:p>
    <w:p w14:paraId="2F064A9E" w14:textId="7F307FDD" w:rsidR="005C5119" w:rsidRPr="005C5119" w:rsidRDefault="005C5119" w:rsidP="005C5119">
      <w:pPr>
        <w:tabs>
          <w:tab w:val="left" w:pos="3090"/>
        </w:tabs>
        <w:rPr>
          <w:rFonts w:cs="Arial"/>
          <w:sz w:val="16"/>
          <w:szCs w:val="16"/>
        </w:rPr>
        <w:sectPr w:rsidR="005C5119" w:rsidRPr="005C5119" w:rsidSect="00CA0E65">
          <w:pgSz w:w="12240" w:h="15840" w:code="1"/>
          <w:pgMar w:top="720" w:right="720" w:bottom="720" w:left="720" w:header="720" w:footer="720" w:gutter="0"/>
          <w:cols w:space="720"/>
          <w:docGrid w:linePitch="272"/>
        </w:sectPr>
      </w:pPr>
      <w:r>
        <w:rPr>
          <w:rFonts w:cs="Arial"/>
          <w:sz w:val="16"/>
          <w:szCs w:val="16"/>
        </w:rPr>
        <w:tab/>
      </w:r>
    </w:p>
    <w:tbl>
      <w:tblPr>
        <w:tblpPr w:leftFromText="187" w:rightFromText="187" w:vertAnchor="page" w:tblpXSpec="center" w:tblpY="1801"/>
        <w:tblOverlap w:val="never"/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99"/>
        <w:gridCol w:w="864"/>
        <w:gridCol w:w="1152"/>
        <w:gridCol w:w="864"/>
        <w:gridCol w:w="1152"/>
        <w:gridCol w:w="864"/>
        <w:gridCol w:w="1152"/>
        <w:gridCol w:w="864"/>
        <w:gridCol w:w="1152"/>
        <w:gridCol w:w="864"/>
        <w:gridCol w:w="1154"/>
      </w:tblGrid>
      <w:tr w:rsidR="009B6F7B" w:rsidRPr="000B2033" w14:paraId="1EFE529E" w14:textId="77777777" w:rsidTr="009B6F7B">
        <w:trPr>
          <w:cantSplit/>
          <w:trHeight w:val="576"/>
          <w:tblHeader/>
        </w:trPr>
        <w:tc>
          <w:tcPr>
            <w:tcW w:w="13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0657320" w14:textId="77777777" w:rsidR="009B6F7B" w:rsidRPr="000B2033" w:rsidRDefault="009B6F7B" w:rsidP="009B6F7B">
            <w:pPr>
              <w:pStyle w:val="Heading1"/>
              <w:rPr>
                <w:sz w:val="24"/>
                <w:szCs w:val="24"/>
              </w:rPr>
            </w:pPr>
            <w:bookmarkStart w:id="22" w:name="_Toc512950707"/>
            <w:r w:rsidRPr="000B2033">
              <w:lastRenderedPageBreak/>
              <w:t xml:space="preserve">Table </w:t>
            </w:r>
            <w:r>
              <w:t>8</w:t>
            </w:r>
            <w:r w:rsidRPr="000B2033">
              <w:t>. FHA Hospital</w:t>
            </w:r>
            <w:r>
              <w:t xml:space="preserve"> Facilities</w:t>
            </w:r>
            <w:r w:rsidRPr="000B2033">
              <w:t xml:space="preserve"> Pipeline Summary</w:t>
            </w:r>
            <w:bookmarkEnd w:id="22"/>
          </w:p>
        </w:tc>
      </w:tr>
      <w:tr w:rsidR="00353D2A" w:rsidRPr="000B2033" w14:paraId="0AA7C1B3" w14:textId="77777777" w:rsidTr="009B6F7B">
        <w:trPr>
          <w:cantSplit/>
          <w:trHeight w:val="432"/>
          <w:tblHeader/>
        </w:trPr>
        <w:tc>
          <w:tcPr>
            <w:tcW w:w="369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DB42F86" w14:textId="77777777" w:rsidR="00353D2A" w:rsidRPr="000B2033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48FDD08" w14:textId="07B836F0" w:rsidR="00353D2A" w:rsidRPr="00CE4504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1</w:t>
            </w:r>
          </w:p>
        </w:tc>
        <w:tc>
          <w:tcPr>
            <w:tcW w:w="201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E1F3BF8" w14:textId="0DE11B52" w:rsidR="00353D2A" w:rsidRPr="00CE4504" w:rsidRDefault="004F0924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 w:rsidRPr="004F0924">
              <w:rPr>
                <w:color w:val="000000"/>
              </w:rPr>
              <w:t>Jun 202</w:t>
            </w:r>
            <w:r w:rsidR="00697EC6">
              <w:rPr>
                <w:color w:val="000000"/>
              </w:rPr>
              <w:t>0</w:t>
            </w:r>
          </w:p>
        </w:tc>
        <w:tc>
          <w:tcPr>
            <w:tcW w:w="201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F4C7E8C" w14:textId="2AA41FA0" w:rsidR="00353D2A" w:rsidRPr="00CE4504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FY 202</w:t>
            </w:r>
            <w:r w:rsidR="001572C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01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49F9873" w14:textId="204A9BB5" w:rsidR="00353D2A" w:rsidRPr="00CE4504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  <w:vertAlign w:val="superscript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to-date</w:t>
            </w:r>
          </w:p>
        </w:tc>
        <w:tc>
          <w:tcPr>
            <w:tcW w:w="2018" w:type="dxa"/>
            <w:gridSpan w:val="2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9A85A94" w14:textId="3B512006" w:rsidR="00353D2A" w:rsidRPr="00CE4504" w:rsidRDefault="00353D2A" w:rsidP="00353D2A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 xml:space="preserve">FY </w:t>
            </w:r>
            <w:r w:rsidR="00697EC6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Final</w:t>
            </w:r>
          </w:p>
        </w:tc>
      </w:tr>
      <w:tr w:rsidR="009B6F7B" w:rsidRPr="000B2033" w14:paraId="6E274FD0" w14:textId="77777777" w:rsidTr="009B6F7B">
        <w:trPr>
          <w:cantSplit/>
          <w:trHeight w:val="432"/>
          <w:tblHeader/>
        </w:trPr>
        <w:tc>
          <w:tcPr>
            <w:tcW w:w="36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BEB303" w14:textId="77777777" w:rsidR="009B6F7B" w:rsidRPr="000B2033" w:rsidRDefault="009B6F7B" w:rsidP="009B6F7B">
            <w:pPr>
              <w:keepNext/>
              <w:adjustRightInd w:val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EE662C5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767C987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23AB0F18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($ millions)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46ED765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B4A2910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47162FE4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($ millions)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93818F1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821AA98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7E9A6946" w14:textId="77777777" w:rsidR="009B6F7B" w:rsidRPr="00CE4504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CE4504">
              <w:rPr>
                <w:rFonts w:cs="Arial"/>
                <w:color w:val="000000"/>
                <w:szCs w:val="18"/>
              </w:rPr>
              <w:t>($ millions)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4C59D64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C33BBA7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Loan Balance</w:t>
            </w:r>
          </w:p>
          <w:p w14:paraId="57B2C398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 ($ millions)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0067477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Number of Loans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2AEAF55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Loan Balance </w:t>
            </w:r>
          </w:p>
          <w:p w14:paraId="528908E6" w14:textId="77777777" w:rsidR="009B6F7B" w:rsidRPr="000B2033" w:rsidRDefault="009B6F7B" w:rsidP="009B6F7B">
            <w:pPr>
              <w:keepNext/>
              <w:adjustRightInd w:val="0"/>
              <w:jc w:val="right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>($ millions)</w:t>
            </w:r>
          </w:p>
        </w:tc>
      </w:tr>
      <w:tr w:rsidR="0061442F" w:rsidRPr="000B2033" w14:paraId="3D9ECB81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752DDAA4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Applications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7B29BDFC" w14:textId="0EA6358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B6A68DB" w14:textId="0F07F1D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C455A3A" w14:textId="3D5DBA4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5BA30D2E" w14:textId="1FD53BE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256.2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193D7AB3" w14:textId="09EC78C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6698E876" w14:textId="107CF23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1,028.6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131AE2FE" w14:textId="765C645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982E1E0" w14:textId="019A7536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256.2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7D1FF94E" w14:textId="1C89B05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4EAC289C" w14:textId="38F9949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883.6</w:t>
            </w:r>
          </w:p>
        </w:tc>
      </w:tr>
      <w:tr w:rsidR="0061442F" w:rsidRPr="000B2033" w14:paraId="5E0961C9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FF1DDBF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242 Construction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CD49F9C" w14:textId="3AB86E7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3FBF87E" w14:textId="7A6D168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478C4ED" w14:textId="7E498CE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827990E" w14:textId="22F356F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2278993" w14:textId="3604D92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1D59DEC" w14:textId="76369FC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B18588E" w14:textId="48F85F56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009EFB1" w14:textId="4FA5D6E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83D244E" w14:textId="389BB47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CA6975B" w14:textId="5941CD5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1442F" w:rsidRPr="000B2033" w14:paraId="3A14DD4B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8F95328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241 Construction or Addition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FF7F806" w14:textId="10D733C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6F2FDDB" w14:textId="1D4A294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301A82F" w14:textId="4838D5D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19DBC96" w14:textId="188745C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B589218" w14:textId="6BB6423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FE9871F" w14:textId="6C7637B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453.6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CF19962" w14:textId="53DC695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B963ED0" w14:textId="4FFCAA5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DF46EEE" w14:textId="050D22F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550713C" w14:textId="76B7C09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61.7</w:t>
            </w:r>
          </w:p>
        </w:tc>
      </w:tr>
      <w:tr w:rsidR="0061442F" w:rsidRPr="000B2033" w14:paraId="2A87FF50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D7A5F8F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223(a)(7) Refinancing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AB0DE91" w14:textId="01372EA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E5756EA" w14:textId="3430D91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7AE1A9D" w14:textId="50FBFD1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D3FB714" w14:textId="626B8C6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114.2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5F3D06" w14:textId="40E1B8A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0B50950" w14:textId="647EE55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C331EBF" w14:textId="3633386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02F79AD" w14:textId="6BCE589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114.2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85BB817" w14:textId="456B509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1B226D2" w14:textId="04EE82A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133.1</w:t>
            </w:r>
          </w:p>
        </w:tc>
      </w:tr>
      <w:tr w:rsidR="0061442F" w:rsidRPr="000B2033" w14:paraId="0A30F196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E5A5C4F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223(f) Refinancing or Acquisition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e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940EAE" w14:textId="6CD0336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A03E3BA" w14:textId="69976A4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2445174" w14:textId="15CCD2B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1F5A4CA" w14:textId="5CCCCD6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142.0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7BF7E19" w14:textId="34DBB69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8555F13" w14:textId="490FD4A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575.0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E2D2C27" w14:textId="76A8E48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6039C40" w14:textId="60F87AA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142.0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38E130D" w14:textId="3EDD062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C7D9E5B" w14:textId="66FA5B0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688.8</w:t>
            </w:r>
          </w:p>
        </w:tc>
      </w:tr>
      <w:tr w:rsidR="0061442F" w:rsidRPr="000B2033" w14:paraId="226F8B1D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12B0C9E2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Commitments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233D9408" w14:textId="1F0AA3A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C64C1D7" w14:textId="7E0D4D0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106CFACC" w14:textId="357DD61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3FDE2599" w14:textId="60EC924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48552EFB" w14:textId="000E653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6F82935" w14:textId="2FE6771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1,143.7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79517772" w14:textId="4907298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45603C29" w14:textId="1BC922D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412.2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17F0D287" w14:textId="36C8746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CC95286" w14:textId="55AA8D8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695.7</w:t>
            </w:r>
          </w:p>
        </w:tc>
      </w:tr>
      <w:tr w:rsidR="0061442F" w:rsidRPr="000B2033" w14:paraId="4F462496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C38A65C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242 Construction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452F490" w14:textId="2E6BE9B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D7CE352" w14:textId="7A9DE27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B29A4AB" w14:textId="172816E6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79F12D5" w14:textId="2F3DE79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CA23FA2" w14:textId="3B4C8DF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77003EB" w14:textId="1A35DE0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F530E95" w14:textId="5D5D03B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0635D84" w14:textId="59ADD7F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F0786AA" w14:textId="175936B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EC60F4F" w14:textId="616C0C3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1442F" w:rsidRPr="000B2033" w14:paraId="1CAEB892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0F674FE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241 Construction or Addition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9F320B3" w14:textId="39C00B7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F3A2023" w14:textId="4076CA5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3EF9F88" w14:textId="2965875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AC7DC73" w14:textId="6CCC708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06122E3" w14:textId="3BB4CCC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98422B9" w14:textId="3358C4F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442.3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D34FF41" w14:textId="752105F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53137C1" w14:textId="1CB3A74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C34CA78" w14:textId="0A061F2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04831E3" w14:textId="44E8185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141.2</w:t>
            </w:r>
          </w:p>
        </w:tc>
      </w:tr>
      <w:tr w:rsidR="0061442F" w:rsidRPr="000B2033" w14:paraId="1AB3D713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EB6A1D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223(a)(7) Refinancing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352D9C3" w14:textId="1250463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C78F829" w14:textId="1CE78C4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7D5336E" w14:textId="19364049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922EA96" w14:textId="10C49D6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8E5E5A" w14:textId="3E13FCB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FC65EB7" w14:textId="67F4C59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82C58EA" w14:textId="68258C2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85BD8F4" w14:textId="4D3154B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69F0194" w14:textId="52547D5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D0C44B0" w14:textId="050CA1E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126.7</w:t>
            </w:r>
          </w:p>
        </w:tc>
      </w:tr>
      <w:tr w:rsidR="0061442F" w:rsidRPr="000B2033" w14:paraId="7E8DE46C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04EC428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223(f) Refinancing or Acquisition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e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8C7D43F" w14:textId="698A10D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5266B0D" w14:textId="571E816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DE5A4BE" w14:textId="01AEE2E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DEDF0C1" w14:textId="39C220F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C39ECE3" w14:textId="4EF6225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4192F5" w14:textId="5351FD2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701.4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FAFC0AE" w14:textId="16BBB19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47FC0D5" w14:textId="50B16C9E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271.0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4157B53" w14:textId="4EED72A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7291815" w14:textId="69B59AA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427.8</w:t>
            </w:r>
          </w:p>
        </w:tc>
      </w:tr>
      <w:tr w:rsidR="0061442F" w:rsidRPr="000B2033" w14:paraId="0CE74A47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2480FABF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proofErr w:type="spellStart"/>
            <w:r w:rsidRPr="000B2033">
              <w:rPr>
                <w:rFonts w:cs="Arial"/>
                <w:color w:val="000000"/>
                <w:szCs w:val="18"/>
              </w:rPr>
              <w:t>Endorsements</w:t>
            </w:r>
            <w:r>
              <w:rPr>
                <w:rFonts w:cs="Arial"/>
                <w:color w:val="000000"/>
                <w:szCs w:val="18"/>
                <w:vertAlign w:val="superscript"/>
              </w:rPr>
              <w:t>g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3204071" w14:textId="250DBDB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0754D45E" w14:textId="0A217EB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5C63DF29" w14:textId="4992404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7E74FD86" w14:textId="61DE79C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692F0632" w14:textId="493A233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4C0DAA91" w14:textId="78436CF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878.8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435566ED" w14:textId="51AA874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3E5A5B4E" w14:textId="362AB48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359.2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2B6D8492" w14:textId="46C2101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left w:w="40" w:type="dxa"/>
              <w:right w:w="40" w:type="dxa"/>
            </w:tcMar>
            <w:vAlign w:val="bottom"/>
          </w:tcPr>
          <w:p w14:paraId="2383A896" w14:textId="085DA5D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702.4</w:t>
            </w:r>
          </w:p>
        </w:tc>
      </w:tr>
      <w:tr w:rsidR="0061442F" w:rsidRPr="000B2033" w14:paraId="6FC3B09E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01939B8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242 Construction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2C81CF7" w14:textId="16EA677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20BF065" w14:textId="07A72CC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F12232B" w14:textId="616174A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5DBF63F" w14:textId="39A1CB2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282AF9F" w14:textId="79F5B6D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A982D59" w14:textId="0B49848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1066DB" w14:textId="6BDF0C8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F46A9E4" w14:textId="1E2A9A7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4F04A7F" w14:textId="0A403924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166CC97" w14:textId="1CFA7B7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1442F" w:rsidRPr="000B2033" w14:paraId="18F21087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15B8F97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241 Construction or Addition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0A066CC" w14:textId="50F3F0F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494A33C" w14:textId="2CE1FB1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54709D7" w14:textId="4F22E68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1515D29" w14:textId="4BA22D2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96FE8DA" w14:textId="4462358D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544CFE2" w14:textId="3EF742B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60.6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E7DF07" w14:textId="2375C92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963E5C8" w14:textId="591DE14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8732C7C" w14:textId="360D184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57E4A38" w14:textId="5434F35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141.2</w:t>
            </w:r>
          </w:p>
        </w:tc>
      </w:tr>
      <w:tr w:rsidR="0061442F" w:rsidRPr="000B2033" w14:paraId="562F756C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970B7C7" w14:textId="77777777" w:rsidR="0061442F" w:rsidRPr="000B2033" w:rsidRDefault="0061442F" w:rsidP="0061442F">
            <w:pPr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223(a)(7) Refinancing – 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44711A1" w14:textId="4E8A199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57C1A25" w14:textId="5F1AB82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503A9F4" w14:textId="6E625550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89BA511" w14:textId="57EDE59B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6187C8F" w14:textId="57E3014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46F2554" w14:textId="4AC9414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126.4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6F80E3C" w14:textId="2E220173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547046A" w14:textId="7AE2B42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0813093" w14:textId="45C6952A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731379E" w14:textId="5997116F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</w:tr>
      <w:tr w:rsidR="0061442F" w:rsidRPr="000B2033" w14:paraId="79A9C411" w14:textId="77777777" w:rsidTr="0061442F">
        <w:trPr>
          <w:cantSplit/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75B8A5F2" w14:textId="77777777" w:rsidR="0061442F" w:rsidRPr="000B2033" w:rsidRDefault="0061442F" w:rsidP="0061442F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r w:rsidRPr="000B2033">
              <w:rPr>
                <w:rFonts w:cs="Arial"/>
                <w:color w:val="000000"/>
                <w:szCs w:val="18"/>
              </w:rPr>
              <w:t xml:space="preserve">223(f) Refinancing or Acquisition – Non-Portfolio </w:t>
            </w:r>
            <w:proofErr w:type="spellStart"/>
            <w:r w:rsidRPr="000B2033">
              <w:rPr>
                <w:rFonts w:cs="Arial"/>
                <w:color w:val="000000"/>
                <w:szCs w:val="18"/>
              </w:rPr>
              <w:t>Hospital</w:t>
            </w:r>
            <w:r>
              <w:rPr>
                <w:rFonts w:cs="Arial"/>
                <w:color w:val="000000"/>
                <w:szCs w:val="18"/>
                <w:vertAlign w:val="superscript"/>
              </w:rPr>
              <w:t>e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7C31C77" w14:textId="62ED46D8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327DC45" w14:textId="443771B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B3A1124" w14:textId="40C57A71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DB07643" w14:textId="0EB258C7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0.0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5B59632" w14:textId="260943D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24FDC4C" w14:textId="78919282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691.8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CC32B2C" w14:textId="59305F7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65C0F79" w14:textId="3CFA4F6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218.0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4CA82A7" w14:textId="62E989C5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8031783" w14:textId="1024C40C" w:rsidR="0061442F" w:rsidRPr="003851B5" w:rsidRDefault="0061442F" w:rsidP="0061442F">
            <w:pPr>
              <w:jc w:val="right"/>
              <w:rPr>
                <w:rFonts w:cs="Arial"/>
                <w:szCs w:val="18"/>
              </w:rPr>
            </w:pPr>
            <w:r>
              <w:rPr>
                <w:color w:val="000000"/>
              </w:rPr>
              <w:t>561.2</w:t>
            </w:r>
          </w:p>
        </w:tc>
      </w:tr>
      <w:tr w:rsidR="009B6F7B" w:rsidRPr="000B2033" w14:paraId="10C636E2" w14:textId="77777777" w:rsidTr="009B6F7B">
        <w:trPr>
          <w:cantSplit/>
          <w:trHeight w:val="288"/>
        </w:trPr>
        <w:tc>
          <w:tcPr>
            <w:tcW w:w="1378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0D3CB52" w14:textId="77777777" w:rsidR="009B6F7B" w:rsidRDefault="009B6F7B" w:rsidP="009B6F7B">
            <w:pPr>
              <w:keepNext/>
              <w:adjustRightInd w:val="0"/>
              <w:spacing w:before="40"/>
              <w:rPr>
                <w:rFonts w:cs="Arial"/>
                <w:sz w:val="16"/>
                <w:szCs w:val="16"/>
                <w:vertAlign w:val="superscript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proofErr w:type="gramEnd"/>
            <w:r w:rsidRPr="00A8162C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8162C">
              <w:rPr>
                <w:rFonts w:cs="Arial"/>
                <w:color w:val="000000" w:themeColor="text1"/>
                <w:sz w:val="16"/>
                <w:szCs w:val="16"/>
              </w:rPr>
              <w:t>Application data from previous months may change as data are added to the HUD database after the creation date of this report.</w:t>
            </w:r>
          </w:p>
          <w:p w14:paraId="582BC81A" w14:textId="77777777" w:rsidR="009B6F7B" w:rsidRDefault="009B6F7B" w:rsidP="009B6F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b </w:t>
            </w:r>
            <w:r>
              <w:rPr>
                <w:rFonts w:cs="Arial"/>
                <w:sz w:val="16"/>
                <w:szCs w:val="16"/>
              </w:rPr>
              <w:t xml:space="preserve">Section 242: Provides mortgage insurance for acute care hospital facility construction loans. </w:t>
            </w:r>
          </w:p>
          <w:p w14:paraId="22A879F2" w14:textId="77777777" w:rsidR="009B6F7B" w:rsidRDefault="009B6F7B" w:rsidP="009B6F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c </w:t>
            </w:r>
            <w:r>
              <w:rPr>
                <w:rFonts w:cs="Arial"/>
                <w:sz w:val="16"/>
                <w:szCs w:val="16"/>
              </w:rPr>
              <w:t>Section 241: Insures mortgage loans to finance repairs, additions, and improvements to hospital facilities with FHA-insured first mortgages or HUD-held mortgages.</w:t>
            </w:r>
          </w:p>
          <w:p w14:paraId="345AF874" w14:textId="77777777" w:rsidR="009B6F7B" w:rsidRDefault="009B6F7B" w:rsidP="009B6F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d </w:t>
            </w:r>
            <w:r>
              <w:rPr>
                <w:rFonts w:cs="Arial"/>
                <w:sz w:val="16"/>
                <w:szCs w:val="16"/>
              </w:rPr>
              <w:t>Section 223(a)(7): Permits refinancing of an existing loan to reduce interest rate and/or extend amortization period in order to reduce risk of default.</w:t>
            </w:r>
          </w:p>
          <w:p w14:paraId="20FA552E" w14:textId="77777777" w:rsidR="009B6F7B" w:rsidRPr="00A8162C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vertAlign w:val="superscript"/>
              </w:rPr>
              <w:t xml:space="preserve">e </w:t>
            </w:r>
            <w:r>
              <w:rPr>
                <w:rFonts w:cs="Arial"/>
                <w:sz w:val="16"/>
                <w:szCs w:val="16"/>
              </w:rPr>
              <w:t>Section 223(f): Insures mortgage loans to facilitate the purchase of a hospital facility or the refinancing of an existing hospital facility loan.</w:t>
            </w:r>
          </w:p>
          <w:p w14:paraId="3EA293C9" w14:textId="77777777" w:rsidR="009B6F7B" w:rsidRPr="00A8162C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A8162C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f </w:t>
            </w:r>
            <w:r w:rsidRPr="00A8162C">
              <w:rPr>
                <w:rFonts w:cs="Arial"/>
                <w:color w:val="000000"/>
                <w:sz w:val="16"/>
                <w:szCs w:val="16"/>
              </w:rPr>
              <w:t xml:space="preserve">Commitment </w:t>
            </w:r>
            <w:r w:rsidRPr="00A8162C">
              <w:rPr>
                <w:rFonts w:cs="Arial"/>
                <w:color w:val="000000" w:themeColor="text1"/>
                <w:sz w:val="16"/>
                <w:szCs w:val="16"/>
              </w:rPr>
              <w:t>data from previous months may change as data are added to the HUD database after the creation date of this report.</w:t>
            </w:r>
          </w:p>
          <w:p w14:paraId="7E0C6A32" w14:textId="77777777" w:rsidR="009B6F7B" w:rsidRPr="00A8162C" w:rsidRDefault="009B6F7B" w:rsidP="009B6F7B">
            <w:pPr>
              <w:keepNext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A8162C">
              <w:rPr>
                <w:rFonts w:cs="Arial"/>
                <w:color w:val="000000"/>
                <w:sz w:val="16"/>
                <w:szCs w:val="16"/>
                <w:vertAlign w:val="superscript"/>
              </w:rPr>
              <w:t xml:space="preserve">g </w:t>
            </w:r>
            <w:r w:rsidRPr="00A8162C">
              <w:rPr>
                <w:rFonts w:cs="Arial"/>
                <w:color w:val="000000"/>
                <w:sz w:val="16"/>
                <w:szCs w:val="16"/>
              </w:rPr>
              <w:t xml:space="preserve">Endorsement </w:t>
            </w:r>
            <w:r w:rsidRPr="00A8162C">
              <w:rPr>
                <w:rFonts w:cs="Arial"/>
                <w:color w:val="000000" w:themeColor="text1"/>
                <w:sz w:val="16"/>
                <w:szCs w:val="16"/>
              </w:rPr>
              <w:t>data from previous months may change as data are added to the HUD database after the creation date of this report.</w:t>
            </w:r>
          </w:p>
          <w:p w14:paraId="336A5185" w14:textId="257D8F85" w:rsidR="009B6F7B" w:rsidRPr="000B2033" w:rsidRDefault="004F0924" w:rsidP="0079597D">
            <w:pPr>
              <w:keepNext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1F342E3B" w14:textId="77777777" w:rsidR="0020024B" w:rsidRDefault="0020024B" w:rsidP="000B1811">
      <w:pPr>
        <w:spacing w:before="40"/>
        <w:jc w:val="center"/>
        <w:rPr>
          <w:rFonts w:cs="Arial"/>
          <w:sz w:val="16"/>
          <w:szCs w:val="16"/>
        </w:rPr>
        <w:sectPr w:rsidR="0020024B" w:rsidSect="00CA0E65">
          <w:pgSz w:w="15840" w:h="12240" w:orient="landscape" w:code="1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pPr w:leftFromText="187" w:rightFromText="187" w:vertAnchor="page" w:tblpXSpec="center" w:tblpY="1441"/>
        <w:tblOverlap w:val="never"/>
        <w:tblW w:w="475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84"/>
        <w:gridCol w:w="1584"/>
        <w:gridCol w:w="1584"/>
      </w:tblGrid>
      <w:tr w:rsidR="00B9086A" w:rsidRPr="00B9086A" w14:paraId="7F66BA0B" w14:textId="77777777" w:rsidTr="00D172B6">
        <w:trPr>
          <w:trHeight w:val="576"/>
        </w:trPr>
        <w:tc>
          <w:tcPr>
            <w:tcW w:w="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54C4" w14:textId="77777777" w:rsidR="00B9086A" w:rsidRPr="00B9086A" w:rsidRDefault="00B9086A" w:rsidP="00A81505">
            <w:pPr>
              <w:pStyle w:val="Heading1"/>
            </w:pPr>
            <w:bookmarkStart w:id="23" w:name="_Toc512950708"/>
            <w:r w:rsidRPr="00B9086A">
              <w:lastRenderedPageBreak/>
              <w:t xml:space="preserve">Table </w:t>
            </w:r>
            <w:r w:rsidR="00274397">
              <w:t>9</w:t>
            </w:r>
            <w:r w:rsidRPr="00B9086A">
              <w:t xml:space="preserve">. </w:t>
            </w:r>
            <w:r w:rsidR="000F4419" w:rsidRPr="000F4419">
              <w:t xml:space="preserve">FHA Hospital Facilities </w:t>
            </w:r>
            <w:r w:rsidRPr="00B9086A">
              <w:t>60+ Day Default Rate</w:t>
            </w:r>
            <w:bookmarkEnd w:id="23"/>
          </w:p>
        </w:tc>
      </w:tr>
      <w:tr w:rsidR="00B9086A" w:rsidRPr="00B9086A" w14:paraId="7B8F3EB2" w14:textId="77777777" w:rsidTr="00D172B6">
        <w:trPr>
          <w:trHeight w:val="288"/>
        </w:trPr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25D8" w14:textId="77777777" w:rsidR="00B9086A" w:rsidRPr="001979B1" w:rsidRDefault="00B9086A" w:rsidP="00A81505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Calendar Year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8E09" w14:textId="77777777" w:rsidR="00B9086A" w:rsidRPr="001979B1" w:rsidRDefault="00B9086A" w:rsidP="00A81505">
            <w:pPr>
              <w:autoSpaceDE/>
              <w:autoSpaceDN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>Month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BC72" w14:textId="77777777" w:rsidR="00B9086A" w:rsidRPr="001979B1" w:rsidRDefault="00B9086A" w:rsidP="00A81505">
            <w:pPr>
              <w:autoSpaceDE/>
              <w:autoSpaceDN/>
              <w:jc w:val="right"/>
              <w:rPr>
                <w:rFonts w:eastAsia="Times New Roman" w:cs="Arial"/>
                <w:bCs/>
                <w:color w:val="000000"/>
                <w:szCs w:val="18"/>
              </w:rPr>
            </w:pPr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Default </w:t>
            </w:r>
            <w:proofErr w:type="spellStart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>Rate</w:t>
            </w:r>
            <w:r w:rsidRPr="001979B1">
              <w:rPr>
                <w:rFonts w:eastAsia="Times New Roman" w:cs="Arial"/>
                <w:bCs/>
                <w:color w:val="000000"/>
                <w:szCs w:val="18"/>
                <w:vertAlign w:val="superscript"/>
              </w:rPr>
              <w:t>a</w:t>
            </w:r>
            <w:proofErr w:type="spellEnd"/>
            <w:r w:rsidRPr="001979B1">
              <w:rPr>
                <w:rFonts w:eastAsia="Times New Roman" w:cs="Arial"/>
                <w:bCs/>
                <w:color w:val="000000"/>
                <w:szCs w:val="18"/>
              </w:rPr>
              <w:t xml:space="preserve"> (%)</w:t>
            </w:r>
          </w:p>
        </w:tc>
      </w:tr>
      <w:tr w:rsidR="00F14CFA" w:rsidRPr="00B9086A" w14:paraId="77FDE7CA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F4D07" w14:textId="145BB182" w:rsidR="00F14CFA" w:rsidRDefault="00645445" w:rsidP="00F14C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2018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1BB03B9" w14:textId="23C45C3A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E8AA58E" w14:textId="6FF6A831" w:rsidR="00F14CFA" w:rsidRDefault="00F14CF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0.47</w:t>
            </w:r>
          </w:p>
        </w:tc>
      </w:tr>
      <w:tr w:rsidR="00F14CFA" w:rsidRPr="00B9086A" w14:paraId="09F0003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78D39" w14:textId="77777777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931BE11" w14:textId="4396CFE5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4555D7A" w14:textId="6B83313C" w:rsidR="00F14CFA" w:rsidRDefault="00F14CF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0.22</w:t>
            </w:r>
          </w:p>
        </w:tc>
      </w:tr>
      <w:tr w:rsidR="00F14CFA" w:rsidRPr="00B9086A" w14:paraId="610C2C7A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DFCC4" w14:textId="77777777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B6AEB7" w14:textId="01E7797C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B596F35" w14:textId="282C2FF6" w:rsidR="00F14CFA" w:rsidRDefault="00F14CF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0.23</w:t>
            </w:r>
          </w:p>
        </w:tc>
      </w:tr>
      <w:tr w:rsidR="00F14CFA" w:rsidRPr="00B9086A" w14:paraId="62E52D72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3FE58" w14:textId="77777777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4E16F5A" w14:textId="6AEFDCCF" w:rsidR="00F14CFA" w:rsidRDefault="00F14CFA" w:rsidP="00F14CF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779B36E" w14:textId="681B93AF" w:rsidR="00F14CFA" w:rsidRDefault="0079360F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0.22</w:t>
            </w:r>
          </w:p>
        </w:tc>
      </w:tr>
      <w:tr w:rsidR="00B3372D" w:rsidRPr="00B9086A" w14:paraId="35FAA0AC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59AB7" w14:textId="77777777" w:rsidR="00B3372D" w:rsidRDefault="00B3372D" w:rsidP="00B3372D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F4D4510" w14:textId="232AD4C2" w:rsidR="00B3372D" w:rsidRDefault="00B3372D" w:rsidP="00B3372D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25F1D7A" w14:textId="3D30ED9E" w:rsidR="00B3372D" w:rsidRDefault="00B3372D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0.22</w:t>
            </w:r>
          </w:p>
        </w:tc>
      </w:tr>
      <w:tr w:rsidR="00BB5B6A" w:rsidRPr="00B9086A" w14:paraId="4830D31B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97C3D" w14:textId="77777777" w:rsidR="00BB5B6A" w:rsidRDefault="00BB5B6A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DA005BB" w14:textId="270F3477" w:rsidR="00BB5B6A" w:rsidRDefault="00BB5B6A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F089B0B" w14:textId="0D5C85D0" w:rsidR="00BB5B6A" w:rsidRDefault="00BB5B6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0.22</w:t>
            </w:r>
          </w:p>
        </w:tc>
      </w:tr>
      <w:tr w:rsidR="00BB5B6A" w:rsidRPr="00B9086A" w14:paraId="12D9E8EE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4486A" w14:textId="77777777" w:rsidR="00BB5B6A" w:rsidRDefault="00BB5B6A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0ACADF" w14:textId="65DF82E8" w:rsidR="00BB5B6A" w:rsidRDefault="00BB5B6A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15A7FA" w14:textId="70A67B3A" w:rsidR="00BB5B6A" w:rsidRDefault="00C965A1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F8684E" w:rsidRPr="00B9086A" w14:paraId="32F43C88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C590F" w14:textId="2C10DD44" w:rsidR="00F8684E" w:rsidRDefault="00F8684E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4A13CE9" w14:textId="4F60DB5F" w:rsidR="00F8684E" w:rsidRDefault="00F8684E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8AA93C9" w14:textId="043E863B" w:rsidR="00F8684E" w:rsidRDefault="000C3A68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F34EC8" w:rsidRPr="00B9086A" w14:paraId="3AEE0C1B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9B43A" w14:textId="77777777" w:rsidR="00F34EC8" w:rsidRDefault="00F34EC8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B63DEF4" w14:textId="70BFE79F" w:rsidR="00F34EC8" w:rsidRDefault="00F34EC8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6CEDDD" w14:textId="0CD957E9" w:rsidR="00F34EC8" w:rsidRDefault="00701422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D01AFB" w:rsidRPr="00B9086A" w14:paraId="58E3CBD0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FC4FC" w14:textId="77777777" w:rsidR="00D01AFB" w:rsidRDefault="00D01AFB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0B4C2D9" w14:textId="4551CDCF" w:rsidR="00D01AFB" w:rsidRDefault="00D01AFB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1A3EDBB" w14:textId="2AB12587" w:rsidR="00D01AFB" w:rsidRDefault="00D01AFB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9C5E14" w:rsidRPr="00B9086A" w14:paraId="2C2A5A83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3F73E" w14:textId="77777777" w:rsidR="009C5E14" w:rsidRDefault="009C5E14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EA0EB47" w14:textId="120C9861" w:rsidR="009C5E14" w:rsidRDefault="009C5E14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E6ECFE4" w14:textId="1DCF4B6B" w:rsidR="009C5E14" w:rsidRDefault="009C5E14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C33F72" w:rsidRPr="00B9086A" w14:paraId="431A30EA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0DB20" w14:textId="77777777" w:rsidR="00C33F72" w:rsidRDefault="00C33F72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FC35848" w14:textId="56D70221" w:rsidR="00C33F72" w:rsidRDefault="00C33F72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41E8D29" w14:textId="574291E0" w:rsidR="00C33F72" w:rsidRDefault="003D1DA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DA1D0F" w:rsidRPr="00B9086A" w14:paraId="6A0B015A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32C01" w14:textId="77777777" w:rsidR="00DA1D0F" w:rsidRDefault="00DA1D0F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19BF6F6" w14:textId="49A2BF96" w:rsidR="00DA1D0F" w:rsidRDefault="00DA1D0F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75DF19D" w14:textId="7A8C4967" w:rsidR="00DA1D0F" w:rsidRDefault="00CE24CF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751992" w:rsidRPr="00B9086A" w14:paraId="523C3DD0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C4381" w14:textId="77777777" w:rsidR="00751992" w:rsidRDefault="00751992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0C68807" w14:textId="281006E6" w:rsidR="00751992" w:rsidRDefault="00751992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B5D380E" w14:textId="20590CC8" w:rsidR="00751992" w:rsidRDefault="00C002D1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B86418" w:rsidRPr="00B9086A" w14:paraId="25365098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4D97B" w14:textId="77777777" w:rsidR="00B86418" w:rsidRDefault="00B86418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3A82E4F" w14:textId="163C3D1B" w:rsidR="00B86418" w:rsidRDefault="00B86418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6055262" w14:textId="77ED4596" w:rsidR="00B86418" w:rsidRDefault="00B123F6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5B3E95" w:rsidRPr="00B9086A" w14:paraId="51734107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1CF2C" w14:textId="77777777" w:rsidR="005B3E95" w:rsidRDefault="005B3E95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DC5A68C" w14:textId="1DFA8332" w:rsidR="005B3E95" w:rsidRDefault="005B3E95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93215A" w14:textId="688D76A3" w:rsidR="005B3E95" w:rsidRDefault="005B3E95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266661" w:rsidRPr="00B9086A" w14:paraId="00C28399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33123" w14:textId="77777777" w:rsidR="00266661" w:rsidRDefault="00266661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DF0B6CD" w14:textId="6935B74F" w:rsidR="00266661" w:rsidRDefault="00266661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6A19AF6" w14:textId="590309D0" w:rsidR="00266661" w:rsidRDefault="00266661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D172B6" w:rsidRPr="00B9086A" w14:paraId="3FD9305C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94F8B" w14:textId="77777777" w:rsidR="00D172B6" w:rsidRDefault="00D172B6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88D727E" w14:textId="3DA81332" w:rsidR="00D172B6" w:rsidRDefault="00D172B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56E344D" w14:textId="15C4B469" w:rsidR="00D172B6" w:rsidRDefault="00D172B6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0F3BB9" w:rsidRPr="00B9086A" w14:paraId="7D429993" w14:textId="77777777" w:rsidTr="00D172B6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92126" w14:textId="77777777" w:rsidR="000F3BB9" w:rsidRDefault="000F3BB9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C9923B" w14:textId="15E0C314" w:rsidR="00C52D3D" w:rsidRDefault="00C52D3D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FBE30E" w14:textId="5010E44D" w:rsidR="00C52D3D" w:rsidRDefault="000F3BB9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C52D3D" w:rsidRPr="00B9086A" w14:paraId="046801C6" w14:textId="77777777" w:rsidTr="00D172B6">
        <w:trPr>
          <w:trHeight w:val="28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C9BF1" w14:textId="79727E27" w:rsidR="00F67B5E" w:rsidRDefault="00697EC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375565" w14:textId="083395E4" w:rsidR="00F67B5E" w:rsidRDefault="00C52D3D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</w:t>
            </w:r>
            <w:r w:rsidR="00D172B6">
              <w:rPr>
                <w:rFonts w:cs="Arial"/>
                <w:color w:val="000000"/>
                <w:szCs w:val="18"/>
              </w:rPr>
              <w:t>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D3DA3C" w14:textId="26CF15BB" w:rsidR="00F67B5E" w:rsidRDefault="00C52D3D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</w:t>
            </w:r>
            <w:r w:rsidR="00D172B6">
              <w:rPr>
                <w:rFonts w:cs="Arial"/>
                <w:color w:val="000000"/>
                <w:szCs w:val="18"/>
              </w:rPr>
              <w:t>0</w:t>
            </w:r>
          </w:p>
        </w:tc>
      </w:tr>
      <w:tr w:rsidR="00D172B6" w:rsidRPr="00B9086A" w14:paraId="393323F7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FB8B5" w14:textId="77777777" w:rsidR="00D172B6" w:rsidRDefault="00D172B6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00DF749" w14:textId="0B91C368" w:rsidR="00D172B6" w:rsidRDefault="00D172B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2D464FD" w14:textId="3A735A7E" w:rsidR="00D172B6" w:rsidRDefault="00D172B6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02276D" w:rsidRPr="00B9086A" w14:paraId="0BEDBC77" w14:textId="77777777" w:rsidTr="0032328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494E9" w14:textId="77777777" w:rsidR="0002276D" w:rsidRDefault="0002276D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7817AA0" w14:textId="7EE4061B" w:rsidR="0002276D" w:rsidRDefault="0002276D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D4A06A5" w14:textId="4DE4D56C" w:rsidR="0002276D" w:rsidRDefault="0002276D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32328C" w:rsidRPr="00B9086A" w14:paraId="0F16CEAE" w14:textId="77777777" w:rsidTr="005C511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05BC8" w14:textId="77777777" w:rsidR="0032328C" w:rsidRDefault="0032328C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43DD25D" w14:textId="217E396E" w:rsidR="0032328C" w:rsidRDefault="0032328C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2BBF0EE" w14:textId="27059C4F" w:rsidR="0032328C" w:rsidRDefault="0032328C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5C5119" w:rsidRPr="00B9086A" w14:paraId="40348124" w14:textId="77777777" w:rsidTr="009908BD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51EE3" w14:textId="77777777" w:rsidR="005C5119" w:rsidRDefault="005C5119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28ED851" w14:textId="05EE7521" w:rsidR="005C5119" w:rsidRDefault="005C5119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D0D3EF1" w14:textId="49E2882F" w:rsidR="005C5119" w:rsidRDefault="005C5119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9908BD" w:rsidRPr="00B9086A" w14:paraId="75C33703" w14:textId="77777777" w:rsidTr="0054271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2D841" w14:textId="77777777" w:rsidR="009908BD" w:rsidRDefault="009908BD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64F1227" w14:textId="026E01BD" w:rsidR="009908BD" w:rsidRDefault="009908BD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2782229" w14:textId="5D3436EA" w:rsidR="009908BD" w:rsidRDefault="009908BD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542719" w:rsidRPr="00B9086A" w14:paraId="3211B72D" w14:textId="77777777" w:rsidTr="00B02330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71697" w14:textId="77777777" w:rsidR="00542719" w:rsidRDefault="00542719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F3A6EBB" w14:textId="11B5121E" w:rsidR="00542719" w:rsidRDefault="00542719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Jul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FB6C789" w14:textId="36FF09D7" w:rsidR="00542719" w:rsidRDefault="00542719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B02330" w:rsidRPr="00B9086A" w14:paraId="14E8CEC3" w14:textId="77777777" w:rsidTr="00180A81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2C4DB" w14:textId="77777777" w:rsidR="00B02330" w:rsidRDefault="00B02330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9A6E039" w14:textId="02A08E69" w:rsidR="00B02330" w:rsidRDefault="00B02330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Aug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1F4BC4E" w14:textId="33043B02" w:rsidR="00B02330" w:rsidRDefault="00B02330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180A81" w:rsidRPr="00B9086A" w14:paraId="6402A855" w14:textId="77777777" w:rsidTr="00DD072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5A13C" w14:textId="77777777" w:rsidR="00180A81" w:rsidRDefault="00180A81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6273217" w14:textId="2EDCD83E" w:rsidR="00180A81" w:rsidRDefault="00180A81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Sep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8B99E81" w14:textId="01B909E7" w:rsidR="00180A81" w:rsidRDefault="00180A81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DD0729" w:rsidRPr="00B9086A" w14:paraId="37D02979" w14:textId="77777777" w:rsidTr="009A3A49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9C6C6" w14:textId="77777777" w:rsidR="00DD0729" w:rsidRDefault="00DD0729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9B544D" w14:textId="316B09AE" w:rsidR="00DD0729" w:rsidRDefault="00DD0729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Oct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FFDD48E" w14:textId="2A5E5C32" w:rsidR="00DD0729" w:rsidRDefault="00DD0729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9A3A49" w:rsidRPr="00B9086A" w14:paraId="1DBA5A0D" w14:textId="77777777" w:rsidTr="00AF13BC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D4FB3" w14:textId="77777777" w:rsidR="009A3A49" w:rsidRDefault="009A3A49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0473995" w14:textId="2C9B3057" w:rsidR="009A3A49" w:rsidRDefault="009A3A49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Nov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778BB67" w14:textId="3130CD24" w:rsidR="009A3A49" w:rsidRDefault="009A3A49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AF13BC" w:rsidRPr="00B9086A" w14:paraId="575672E0" w14:textId="77777777" w:rsidTr="00AF13BC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740BA" w14:textId="77777777" w:rsidR="00AF13BC" w:rsidRDefault="00AF13BC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7B2565" w14:textId="19791008" w:rsidR="00AF13BC" w:rsidRDefault="00AF13BC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Dec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56570D" w14:textId="72B15D08" w:rsidR="00AF13BC" w:rsidRDefault="00AF13BC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697EC6" w:rsidRPr="00B9086A" w14:paraId="5A1F3C6B" w14:textId="77777777" w:rsidTr="005263AE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8558F" w14:textId="6C341BF0" w:rsidR="00697EC6" w:rsidRDefault="00697EC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2021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A77347A" w14:textId="5D8DA831" w:rsidR="00697EC6" w:rsidRDefault="00697EC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Jan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A250AE1" w14:textId="60FB2FAC" w:rsidR="00697EC6" w:rsidRDefault="00697EC6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1.59</w:t>
            </w:r>
          </w:p>
        </w:tc>
      </w:tr>
      <w:tr w:rsidR="005263AE" w:rsidRPr="00B9086A" w14:paraId="28AC437D" w14:textId="77777777" w:rsidTr="002F57BD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50B58" w14:textId="77777777" w:rsidR="005263AE" w:rsidRDefault="005263AE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440F4E0" w14:textId="47789CB8" w:rsidR="005263AE" w:rsidRDefault="005263AE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Feb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AFF2145" w14:textId="34F25FF1" w:rsidR="005263AE" w:rsidRDefault="005263AE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1.61</w:t>
            </w:r>
          </w:p>
        </w:tc>
      </w:tr>
      <w:tr w:rsidR="002F57BD" w:rsidRPr="00B9086A" w14:paraId="6555E771" w14:textId="77777777" w:rsidTr="00C44AAA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C1F76" w14:textId="77777777" w:rsidR="002F57BD" w:rsidRDefault="002F57BD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42FF72B" w14:textId="029F7B0E" w:rsidR="002F57BD" w:rsidRDefault="002F57BD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F29E57D" w14:textId="776A3D43" w:rsidR="002F57BD" w:rsidRDefault="005D694C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C44AAA" w:rsidRPr="00B9086A" w14:paraId="37B1749B" w14:textId="77777777" w:rsidTr="00DA6016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2FA4F" w14:textId="77777777" w:rsidR="00C44AAA" w:rsidRDefault="00C44AAA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4F99353" w14:textId="359011ED" w:rsidR="00C44AAA" w:rsidRDefault="00C44AAA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Apr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5959CE9" w14:textId="76605F5F" w:rsidR="00C44AAA" w:rsidRDefault="00C44AAA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DA6016" w:rsidRPr="00B9086A" w14:paraId="219374AD" w14:textId="77777777" w:rsidTr="00645445">
        <w:trPr>
          <w:trHeight w:val="288"/>
        </w:trPr>
        <w:tc>
          <w:tcPr>
            <w:tcW w:w="15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54961" w14:textId="77777777" w:rsidR="00DA6016" w:rsidRDefault="00DA6016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3CD0D05" w14:textId="3B045865" w:rsidR="00DA6016" w:rsidRDefault="00DA6016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May</w:t>
            </w:r>
          </w:p>
        </w:tc>
        <w:tc>
          <w:tcPr>
            <w:tcW w:w="1584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C79392F" w14:textId="60689D05" w:rsidR="00DA6016" w:rsidRDefault="00DA6016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645445" w:rsidRPr="00B9086A" w14:paraId="7500BA9E" w14:textId="77777777" w:rsidTr="00AF13BC">
        <w:trPr>
          <w:trHeight w:val="288"/>
        </w:trPr>
        <w:tc>
          <w:tcPr>
            <w:tcW w:w="1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4D809" w14:textId="77777777" w:rsidR="00645445" w:rsidRDefault="00645445" w:rsidP="00BB5B6A">
            <w:pPr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10A0FF" w14:textId="2575D745" w:rsidR="00645445" w:rsidRDefault="00645445" w:rsidP="00BB5B6A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Jun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FD144D" w14:textId="0B8610F1" w:rsidR="00645445" w:rsidRDefault="00645445" w:rsidP="00D172B6">
            <w:pPr>
              <w:jc w:val="right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0.00</w:t>
            </w:r>
          </w:p>
        </w:tc>
      </w:tr>
      <w:tr w:rsidR="00BB5B6A" w:rsidRPr="00B9086A" w14:paraId="29CE7B02" w14:textId="77777777" w:rsidTr="00D172B6">
        <w:trPr>
          <w:trHeight w:val="288"/>
        </w:trPr>
        <w:tc>
          <w:tcPr>
            <w:tcW w:w="47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4BA25E7" w14:textId="77777777" w:rsidR="00BB5B6A" w:rsidRPr="00B9086A" w:rsidRDefault="00BB5B6A" w:rsidP="00BB5B6A">
            <w:pPr>
              <w:autoSpaceDE/>
              <w:autoSpaceDN/>
              <w:spacing w:before="40"/>
              <w:rPr>
                <w:rFonts w:eastAsia="Times New Roman" w:cs="Arial"/>
                <w:color w:val="000000"/>
                <w:sz w:val="16"/>
                <w:szCs w:val="16"/>
              </w:rPr>
            </w:pPr>
            <w:proofErr w:type="spellStart"/>
            <w:r w:rsidRPr="00B9086A">
              <w:rPr>
                <w:rFonts w:eastAsia="Times New Roman" w:cs="Arial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r w:rsidRPr="00B9086A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086A">
              <w:rPr>
                <w:rFonts w:eastAsia="Times New Roman" w:cs="Arial"/>
                <w:color w:val="000000"/>
                <w:sz w:val="16"/>
                <w:szCs w:val="16"/>
              </w:rPr>
              <w:t>The</w:t>
            </w:r>
            <w:proofErr w:type="gramEnd"/>
            <w:r w:rsidRPr="00B9086A">
              <w:rPr>
                <w:rFonts w:eastAsia="Times New Roman" w:cs="Arial"/>
                <w:color w:val="000000"/>
                <w:sz w:val="16"/>
                <w:szCs w:val="16"/>
              </w:rPr>
              <w:t xml:space="preserve"> percentage of the total outstanding balance of FHA-insured </w:t>
            </w:r>
            <w:r>
              <w:rPr>
                <w:rFonts w:eastAsia="Times New Roman" w:cs="Arial"/>
                <w:color w:val="000000"/>
                <w:sz w:val="16"/>
                <w:szCs w:val="16"/>
              </w:rPr>
              <w:t>hospital</w:t>
            </w:r>
            <w:r w:rsidRPr="00B9086A">
              <w:rPr>
                <w:rFonts w:eastAsia="Times New Roman" w:cs="Arial"/>
                <w:color w:val="000000"/>
                <w:sz w:val="16"/>
                <w:szCs w:val="16"/>
              </w:rPr>
              <w:t xml:space="preserve"> loans that are 60 days or more past due.</w:t>
            </w:r>
          </w:p>
          <w:p w14:paraId="544D053B" w14:textId="238F44D7" w:rsidR="00BB5B6A" w:rsidRPr="00B9086A" w:rsidRDefault="004F0924" w:rsidP="00BB5B6A">
            <w:pPr>
              <w:autoSpaceDE/>
              <w:autoSpaceDN/>
              <w:rPr>
                <w:rFonts w:eastAsia="Times New Roman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SOURCE: U.S. Department of HUD/FHA, July 2021.</w:t>
            </w:r>
          </w:p>
        </w:tc>
      </w:tr>
    </w:tbl>
    <w:p w14:paraId="7151B5A5" w14:textId="36CD478C" w:rsidR="00C11018" w:rsidRDefault="00C11018" w:rsidP="00FD1C74">
      <w:pPr>
        <w:spacing w:before="40"/>
        <w:jc w:val="center"/>
        <w:rPr>
          <w:rFonts w:cs="Arial"/>
          <w:sz w:val="16"/>
          <w:szCs w:val="16"/>
        </w:rPr>
      </w:pPr>
    </w:p>
    <w:p w14:paraId="7C3E9E1F" w14:textId="77777777" w:rsidR="00C11018" w:rsidRDefault="00C11018">
      <w:pPr>
        <w:autoSpaceDE/>
        <w:autoSpaceDN/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8AD67CA" w14:textId="1CB8D0C5" w:rsidR="00C11018" w:rsidRPr="00E20053" w:rsidRDefault="00C11018" w:rsidP="00C11018">
      <w:pPr>
        <w:pStyle w:val="Caption"/>
        <w:keepNext/>
        <w:jc w:val="center"/>
        <w:rPr>
          <w:rFonts w:cs="Arial"/>
          <w:b/>
          <w:i w:val="0"/>
          <w:color w:val="auto"/>
          <w:sz w:val="20"/>
          <w:szCs w:val="20"/>
        </w:rPr>
      </w:pPr>
      <w:bookmarkStart w:id="24" w:name="_Toc512950740"/>
      <w:r w:rsidRPr="00E20053">
        <w:rPr>
          <w:rFonts w:cs="Arial"/>
          <w:b/>
          <w:i w:val="0"/>
          <w:color w:val="auto"/>
          <w:sz w:val="20"/>
          <w:szCs w:val="20"/>
        </w:rPr>
        <w:lastRenderedPageBreak/>
        <w:t xml:space="preserve">Figure </w: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E20053">
        <w:rPr>
          <w:rFonts w:cs="Arial"/>
          <w:b/>
          <w:i w:val="0"/>
          <w:color w:val="auto"/>
          <w:sz w:val="20"/>
          <w:szCs w:val="20"/>
        </w:rPr>
        <w:instrText xml:space="preserve"> SEQ Figure \* ARABIC </w:instrTex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="00E3436F">
        <w:rPr>
          <w:rFonts w:cs="Arial"/>
          <w:b/>
          <w:i w:val="0"/>
          <w:noProof/>
          <w:color w:val="auto"/>
          <w:sz w:val="20"/>
          <w:szCs w:val="20"/>
        </w:rPr>
        <w:t>8</w:t>
      </w:r>
      <w:r w:rsidRPr="00E2005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E20053">
        <w:rPr>
          <w:rFonts w:cs="Arial"/>
          <w:b/>
          <w:i w:val="0"/>
          <w:color w:val="auto"/>
          <w:sz w:val="20"/>
          <w:szCs w:val="20"/>
        </w:rPr>
        <w:t xml:space="preserve">: </w:t>
      </w:r>
      <w:r w:rsidR="008F126C" w:rsidRPr="00E20053">
        <w:rPr>
          <w:rFonts w:cs="Arial"/>
          <w:b/>
          <w:i w:val="0"/>
          <w:color w:val="auto"/>
          <w:sz w:val="20"/>
          <w:szCs w:val="20"/>
        </w:rPr>
        <w:t xml:space="preserve">FHA Hospital Facilities </w:t>
      </w:r>
      <w:r w:rsidRPr="00E20053">
        <w:rPr>
          <w:rFonts w:cs="Arial"/>
          <w:b/>
          <w:i w:val="0"/>
          <w:color w:val="auto"/>
          <w:sz w:val="20"/>
          <w:szCs w:val="20"/>
        </w:rPr>
        <w:t>Default UPB and Count</w:t>
      </w:r>
      <w:r w:rsidR="009E5156" w:rsidRPr="00E20053">
        <w:rPr>
          <w:rFonts w:cs="Arial"/>
          <w:b/>
          <w:i w:val="0"/>
          <w:color w:val="auto"/>
          <w:sz w:val="20"/>
          <w:szCs w:val="20"/>
        </w:rPr>
        <w:t>,</w:t>
      </w:r>
      <w:r w:rsidRPr="00E20053">
        <w:rPr>
          <w:rFonts w:cs="Arial"/>
          <w:b/>
          <w:i w:val="0"/>
          <w:color w:val="auto"/>
          <w:sz w:val="20"/>
          <w:szCs w:val="20"/>
        </w:rPr>
        <w:t xml:space="preserve"> Last 2 Years</w:t>
      </w:r>
      <w:bookmarkEnd w:id="24"/>
    </w:p>
    <w:p w14:paraId="5F5E115F" w14:textId="722B47E8" w:rsidR="00E85C69" w:rsidRPr="006B48CD" w:rsidRDefault="0019752D" w:rsidP="00C11018">
      <w:pPr>
        <w:spacing w:before="40"/>
        <w:rPr>
          <w:rFonts w:cs="Arial"/>
          <w:sz w:val="16"/>
          <w:szCs w:val="16"/>
        </w:rPr>
      </w:pPr>
      <w:r>
        <w:rPr>
          <w:noProof/>
        </w:rPr>
        <w:drawing>
          <wp:inline distT="0" distB="0" distL="0" distR="0" wp14:anchorId="01727B8F" wp14:editId="272D170A">
            <wp:extent cx="6858000" cy="4114800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9F8BB045-66BF-498F-8D63-650AE0B619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F73058">
        <w:rPr>
          <w:rFonts w:cs="Arial"/>
          <w:sz w:val="16"/>
          <w:szCs w:val="16"/>
        </w:rPr>
        <w:br/>
      </w:r>
      <w:r w:rsidR="005037AD">
        <w:rPr>
          <w:rFonts w:cs="Arial"/>
          <w:color w:val="000000"/>
          <w:sz w:val="16"/>
          <w:szCs w:val="16"/>
        </w:rPr>
        <w:t>Unpaid Principal Balance (UPB) is the current outstanding principal balance due on the mortgage.</w:t>
      </w:r>
      <w:r w:rsidR="005037AD">
        <w:rPr>
          <w:rFonts w:cs="Arial"/>
          <w:color w:val="000000"/>
          <w:sz w:val="16"/>
          <w:szCs w:val="16"/>
        </w:rPr>
        <w:br/>
      </w:r>
      <w:r w:rsidR="004F0924">
        <w:rPr>
          <w:rFonts w:cs="Arial"/>
          <w:color w:val="000000"/>
          <w:sz w:val="16"/>
          <w:szCs w:val="16"/>
        </w:rPr>
        <w:t>SOURCE: U.S. Department of HUD/FHA, July 2021.</w:t>
      </w:r>
    </w:p>
    <w:sectPr w:rsidR="00E85C69" w:rsidRPr="006B48CD" w:rsidSect="00744218"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64A4" w14:textId="77777777" w:rsidR="0061442F" w:rsidRDefault="0061442F">
      <w:r>
        <w:separator/>
      </w:r>
    </w:p>
  </w:endnote>
  <w:endnote w:type="continuationSeparator" w:id="0">
    <w:p w14:paraId="34983F0B" w14:textId="77777777" w:rsidR="0061442F" w:rsidRDefault="0061442F">
      <w:r>
        <w:continuationSeparator/>
      </w:r>
    </w:p>
  </w:endnote>
  <w:endnote w:type="continuationNotice" w:id="1">
    <w:p w14:paraId="4A996EEE" w14:textId="77777777" w:rsidR="0061442F" w:rsidRDefault="00614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C3DD" w14:textId="06860762" w:rsidR="0061442F" w:rsidRDefault="0061442F" w:rsidP="00573EC0">
    <w:pPr>
      <w:pStyle w:val="Footer"/>
      <w:pBdr>
        <w:top w:val="single" w:sz="12" w:space="1" w:color="4F81BD"/>
      </w:pBdr>
      <w:rPr>
        <w:rFonts w:asciiTheme="minorHAnsi" w:hAnsiTheme="minorHAnsi"/>
        <w:sz w:val="16"/>
        <w:szCs w:val="16"/>
      </w:rPr>
    </w:pPr>
  </w:p>
  <w:p w14:paraId="3F41B773" w14:textId="46B87713" w:rsidR="0061442F" w:rsidRPr="00FA1C27" w:rsidRDefault="0061442F" w:rsidP="00573EC0">
    <w:pPr>
      <w:pStyle w:val="Footer"/>
      <w:rPr>
        <w:rFonts w:cs="Arial"/>
        <w:szCs w:val="18"/>
      </w:rPr>
    </w:pPr>
    <w:bookmarkStart w:id="2" w:name="_Toc288548780"/>
    <w:bookmarkStart w:id="3" w:name="_Toc291666635"/>
    <w:r>
      <w:rPr>
        <w:rFonts w:cs="Arial"/>
        <w:szCs w:val="18"/>
      </w:rPr>
      <w:t>June 2021</w:t>
    </w:r>
    <w:r w:rsidRPr="00FA1C27">
      <w:rPr>
        <w:rFonts w:cs="Arial"/>
        <w:szCs w:val="18"/>
      </w:rPr>
      <w:ptab w:relativeTo="margin" w:alignment="right" w:leader="none"/>
    </w:r>
    <w:r w:rsidRPr="00FA1C27">
      <w:rPr>
        <w:rFonts w:cs="Arial"/>
        <w:szCs w:val="18"/>
      </w:rPr>
      <w:fldChar w:fldCharType="begin"/>
    </w:r>
    <w:r w:rsidRPr="00FA1C27">
      <w:rPr>
        <w:rFonts w:cs="Arial"/>
        <w:szCs w:val="18"/>
      </w:rPr>
      <w:instrText xml:space="preserve"> PAGE  \* Arabic  \* MERGEFORMAT </w:instrText>
    </w:r>
    <w:r w:rsidRPr="00FA1C27">
      <w:rPr>
        <w:rFonts w:cs="Arial"/>
        <w:szCs w:val="18"/>
      </w:rPr>
      <w:fldChar w:fldCharType="separate"/>
    </w:r>
    <w:r>
      <w:rPr>
        <w:rFonts w:cs="Arial"/>
        <w:noProof/>
        <w:szCs w:val="18"/>
      </w:rPr>
      <w:t>19</w:t>
    </w:r>
    <w:r w:rsidRPr="00FA1C27">
      <w:rPr>
        <w:rFonts w:cs="Arial"/>
        <w:szCs w:val="18"/>
      </w:rPr>
      <w:fldChar w:fldCharType="end"/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7332" w14:textId="77777777" w:rsidR="0061442F" w:rsidRDefault="0061442F">
      <w:r>
        <w:separator/>
      </w:r>
    </w:p>
  </w:footnote>
  <w:footnote w:type="continuationSeparator" w:id="0">
    <w:p w14:paraId="7408485E" w14:textId="77777777" w:rsidR="0061442F" w:rsidRDefault="0061442F">
      <w:r>
        <w:continuationSeparator/>
      </w:r>
    </w:p>
  </w:footnote>
  <w:footnote w:type="continuationNotice" w:id="1">
    <w:p w14:paraId="6A2B4570" w14:textId="77777777" w:rsidR="0061442F" w:rsidRDefault="00614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75DC5" w14:textId="77777777" w:rsidR="0061442F" w:rsidRPr="00A251C5" w:rsidRDefault="0061442F" w:rsidP="00593DC2">
    <w:pPr>
      <w:pStyle w:val="Header"/>
      <w:jc w:val="center"/>
      <w:rPr>
        <w:rFonts w:cs="Arial"/>
      </w:rPr>
    </w:pPr>
    <w:r>
      <w:rPr>
        <w:rFonts w:cs="Arial"/>
        <w:szCs w:val="18"/>
      </w:rPr>
      <w:t>FHA Commercial Mortgage Portfolio</w:t>
    </w:r>
  </w:p>
  <w:p w14:paraId="4394F874" w14:textId="77777777" w:rsidR="0061442F" w:rsidRPr="00E131DF" w:rsidRDefault="0061442F" w:rsidP="00593DC2">
    <w:pPr>
      <w:pStyle w:val="Header"/>
      <w:pBdr>
        <w:bottom w:val="single" w:sz="12" w:space="1" w:color="4F81BD"/>
      </w:pBdr>
      <w:jc w:val="center"/>
    </w:pPr>
  </w:p>
  <w:p w14:paraId="450C4239" w14:textId="77777777" w:rsidR="0061442F" w:rsidRPr="00DE11B0" w:rsidRDefault="0061442F" w:rsidP="00DE1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F"/>
    <w:rsid w:val="00001987"/>
    <w:rsid w:val="0000253D"/>
    <w:rsid w:val="00003926"/>
    <w:rsid w:val="00005943"/>
    <w:rsid w:val="0000678E"/>
    <w:rsid w:val="00006CCE"/>
    <w:rsid w:val="0000702F"/>
    <w:rsid w:val="00007380"/>
    <w:rsid w:val="00010C36"/>
    <w:rsid w:val="00011F6F"/>
    <w:rsid w:val="000132BE"/>
    <w:rsid w:val="0001386F"/>
    <w:rsid w:val="000141AF"/>
    <w:rsid w:val="00015C93"/>
    <w:rsid w:val="00015E0A"/>
    <w:rsid w:val="000173DF"/>
    <w:rsid w:val="0002276D"/>
    <w:rsid w:val="00022A7B"/>
    <w:rsid w:val="000251CC"/>
    <w:rsid w:val="000255CB"/>
    <w:rsid w:val="000263CB"/>
    <w:rsid w:val="0002655F"/>
    <w:rsid w:val="0002741E"/>
    <w:rsid w:val="00027981"/>
    <w:rsid w:val="00030AD2"/>
    <w:rsid w:val="000319FB"/>
    <w:rsid w:val="00034063"/>
    <w:rsid w:val="00034392"/>
    <w:rsid w:val="00034EF4"/>
    <w:rsid w:val="00034F54"/>
    <w:rsid w:val="00034FDE"/>
    <w:rsid w:val="000353E9"/>
    <w:rsid w:val="00035875"/>
    <w:rsid w:val="00035EBB"/>
    <w:rsid w:val="00036454"/>
    <w:rsid w:val="00037485"/>
    <w:rsid w:val="00037977"/>
    <w:rsid w:val="000404BB"/>
    <w:rsid w:val="00045216"/>
    <w:rsid w:val="00050D69"/>
    <w:rsid w:val="00051F52"/>
    <w:rsid w:val="0005328E"/>
    <w:rsid w:val="00055420"/>
    <w:rsid w:val="0005598B"/>
    <w:rsid w:val="00055D21"/>
    <w:rsid w:val="00056C83"/>
    <w:rsid w:val="000606AD"/>
    <w:rsid w:val="00062025"/>
    <w:rsid w:val="00062DB9"/>
    <w:rsid w:val="00064523"/>
    <w:rsid w:val="00065D67"/>
    <w:rsid w:val="0006735A"/>
    <w:rsid w:val="00067533"/>
    <w:rsid w:val="00072BDF"/>
    <w:rsid w:val="00072D05"/>
    <w:rsid w:val="00074C59"/>
    <w:rsid w:val="00074D82"/>
    <w:rsid w:val="0007768A"/>
    <w:rsid w:val="00080011"/>
    <w:rsid w:val="00081052"/>
    <w:rsid w:val="0008158A"/>
    <w:rsid w:val="00083875"/>
    <w:rsid w:val="0008438C"/>
    <w:rsid w:val="00084DBB"/>
    <w:rsid w:val="00085F07"/>
    <w:rsid w:val="0008770A"/>
    <w:rsid w:val="00087ADC"/>
    <w:rsid w:val="00087E75"/>
    <w:rsid w:val="000900F6"/>
    <w:rsid w:val="00093045"/>
    <w:rsid w:val="00097770"/>
    <w:rsid w:val="00097C74"/>
    <w:rsid w:val="000A40FD"/>
    <w:rsid w:val="000A42CE"/>
    <w:rsid w:val="000A53E2"/>
    <w:rsid w:val="000A54FF"/>
    <w:rsid w:val="000A69F9"/>
    <w:rsid w:val="000A7A21"/>
    <w:rsid w:val="000B1811"/>
    <w:rsid w:val="000B2033"/>
    <w:rsid w:val="000B2BB7"/>
    <w:rsid w:val="000B32F3"/>
    <w:rsid w:val="000B54EC"/>
    <w:rsid w:val="000B6CD2"/>
    <w:rsid w:val="000B6D59"/>
    <w:rsid w:val="000C0006"/>
    <w:rsid w:val="000C350B"/>
    <w:rsid w:val="000C3A68"/>
    <w:rsid w:val="000C413C"/>
    <w:rsid w:val="000D0505"/>
    <w:rsid w:val="000D2D56"/>
    <w:rsid w:val="000D3E97"/>
    <w:rsid w:val="000D4B8C"/>
    <w:rsid w:val="000D5862"/>
    <w:rsid w:val="000D6A15"/>
    <w:rsid w:val="000D6D6E"/>
    <w:rsid w:val="000D77F0"/>
    <w:rsid w:val="000E1577"/>
    <w:rsid w:val="000E15EE"/>
    <w:rsid w:val="000E3AF7"/>
    <w:rsid w:val="000E3F0A"/>
    <w:rsid w:val="000E4073"/>
    <w:rsid w:val="000E42FA"/>
    <w:rsid w:val="000E67EA"/>
    <w:rsid w:val="000F3399"/>
    <w:rsid w:val="000F3BB9"/>
    <w:rsid w:val="000F4419"/>
    <w:rsid w:val="000F4467"/>
    <w:rsid w:val="000F5377"/>
    <w:rsid w:val="000F59F5"/>
    <w:rsid w:val="000F6B6C"/>
    <w:rsid w:val="00101F7A"/>
    <w:rsid w:val="00102782"/>
    <w:rsid w:val="00103418"/>
    <w:rsid w:val="00104568"/>
    <w:rsid w:val="00104D3D"/>
    <w:rsid w:val="00104DBD"/>
    <w:rsid w:val="00106488"/>
    <w:rsid w:val="00107559"/>
    <w:rsid w:val="00107F40"/>
    <w:rsid w:val="00111521"/>
    <w:rsid w:val="001115D9"/>
    <w:rsid w:val="00111BC8"/>
    <w:rsid w:val="0011334E"/>
    <w:rsid w:val="00115B6D"/>
    <w:rsid w:val="001167BA"/>
    <w:rsid w:val="00117438"/>
    <w:rsid w:val="00120A89"/>
    <w:rsid w:val="00120AA1"/>
    <w:rsid w:val="00121348"/>
    <w:rsid w:val="00121AA3"/>
    <w:rsid w:val="00123A85"/>
    <w:rsid w:val="00124580"/>
    <w:rsid w:val="00126440"/>
    <w:rsid w:val="00126831"/>
    <w:rsid w:val="00126C67"/>
    <w:rsid w:val="001273F7"/>
    <w:rsid w:val="00130FB1"/>
    <w:rsid w:val="0013180D"/>
    <w:rsid w:val="001321C8"/>
    <w:rsid w:val="00132E45"/>
    <w:rsid w:val="0013310A"/>
    <w:rsid w:val="0013556C"/>
    <w:rsid w:val="00137E33"/>
    <w:rsid w:val="00142444"/>
    <w:rsid w:val="0014278F"/>
    <w:rsid w:val="00144632"/>
    <w:rsid w:val="00144A83"/>
    <w:rsid w:val="0014502F"/>
    <w:rsid w:val="001460D3"/>
    <w:rsid w:val="00146319"/>
    <w:rsid w:val="00146E13"/>
    <w:rsid w:val="0015022C"/>
    <w:rsid w:val="001511A9"/>
    <w:rsid w:val="00151B94"/>
    <w:rsid w:val="00152397"/>
    <w:rsid w:val="00153D3D"/>
    <w:rsid w:val="001572CB"/>
    <w:rsid w:val="001576C8"/>
    <w:rsid w:val="00157FA7"/>
    <w:rsid w:val="00161B13"/>
    <w:rsid w:val="0016266B"/>
    <w:rsid w:val="00162AD7"/>
    <w:rsid w:val="00163262"/>
    <w:rsid w:val="00164342"/>
    <w:rsid w:val="00165481"/>
    <w:rsid w:val="001667C5"/>
    <w:rsid w:val="00170914"/>
    <w:rsid w:val="0017216F"/>
    <w:rsid w:val="00172D51"/>
    <w:rsid w:val="00175836"/>
    <w:rsid w:val="00180A81"/>
    <w:rsid w:val="001813C6"/>
    <w:rsid w:val="00181473"/>
    <w:rsid w:val="00181924"/>
    <w:rsid w:val="00181B88"/>
    <w:rsid w:val="00182135"/>
    <w:rsid w:val="00182FC9"/>
    <w:rsid w:val="00184C2A"/>
    <w:rsid w:val="0018706C"/>
    <w:rsid w:val="00187D4A"/>
    <w:rsid w:val="001901D4"/>
    <w:rsid w:val="0019685E"/>
    <w:rsid w:val="0019752D"/>
    <w:rsid w:val="00197932"/>
    <w:rsid w:val="001979B1"/>
    <w:rsid w:val="001A3442"/>
    <w:rsid w:val="001A44F1"/>
    <w:rsid w:val="001A5C12"/>
    <w:rsid w:val="001A5C7A"/>
    <w:rsid w:val="001A6078"/>
    <w:rsid w:val="001B0998"/>
    <w:rsid w:val="001B0FE2"/>
    <w:rsid w:val="001B13BE"/>
    <w:rsid w:val="001B21B4"/>
    <w:rsid w:val="001B4A80"/>
    <w:rsid w:val="001B519C"/>
    <w:rsid w:val="001B5FF7"/>
    <w:rsid w:val="001B6E7F"/>
    <w:rsid w:val="001C0505"/>
    <w:rsid w:val="001C12A9"/>
    <w:rsid w:val="001C2213"/>
    <w:rsid w:val="001C2C06"/>
    <w:rsid w:val="001C42B0"/>
    <w:rsid w:val="001C4616"/>
    <w:rsid w:val="001C46D5"/>
    <w:rsid w:val="001C4A60"/>
    <w:rsid w:val="001C6103"/>
    <w:rsid w:val="001C7CCF"/>
    <w:rsid w:val="001D0AAF"/>
    <w:rsid w:val="001D5028"/>
    <w:rsid w:val="001D6DEE"/>
    <w:rsid w:val="001D6F49"/>
    <w:rsid w:val="001D738C"/>
    <w:rsid w:val="001E04AE"/>
    <w:rsid w:val="001E1091"/>
    <w:rsid w:val="001E14EB"/>
    <w:rsid w:val="001E3576"/>
    <w:rsid w:val="001E39E6"/>
    <w:rsid w:val="001E3B39"/>
    <w:rsid w:val="001E3FA8"/>
    <w:rsid w:val="001E4A09"/>
    <w:rsid w:val="001E5D59"/>
    <w:rsid w:val="001E6247"/>
    <w:rsid w:val="001F0605"/>
    <w:rsid w:val="001F125C"/>
    <w:rsid w:val="001F1E56"/>
    <w:rsid w:val="001F212B"/>
    <w:rsid w:val="001F270E"/>
    <w:rsid w:val="001F358E"/>
    <w:rsid w:val="001F7EEE"/>
    <w:rsid w:val="0020024B"/>
    <w:rsid w:val="00200A35"/>
    <w:rsid w:val="002023BE"/>
    <w:rsid w:val="00202A1A"/>
    <w:rsid w:val="00202A99"/>
    <w:rsid w:val="00202EAC"/>
    <w:rsid w:val="00202EBB"/>
    <w:rsid w:val="00202F93"/>
    <w:rsid w:val="002032C8"/>
    <w:rsid w:val="00205499"/>
    <w:rsid w:val="00206822"/>
    <w:rsid w:val="00207711"/>
    <w:rsid w:val="00211CE4"/>
    <w:rsid w:val="00212B5B"/>
    <w:rsid w:val="00212D06"/>
    <w:rsid w:val="002154AA"/>
    <w:rsid w:val="002200F5"/>
    <w:rsid w:val="00220804"/>
    <w:rsid w:val="00220873"/>
    <w:rsid w:val="002209C8"/>
    <w:rsid w:val="00220CD4"/>
    <w:rsid w:val="0022149C"/>
    <w:rsid w:val="00221BB8"/>
    <w:rsid w:val="00223D3D"/>
    <w:rsid w:val="00223D60"/>
    <w:rsid w:val="002251D2"/>
    <w:rsid w:val="002253BE"/>
    <w:rsid w:val="0022773B"/>
    <w:rsid w:val="00230695"/>
    <w:rsid w:val="0023080C"/>
    <w:rsid w:val="00230EE7"/>
    <w:rsid w:val="002326A7"/>
    <w:rsid w:val="002329A7"/>
    <w:rsid w:val="0023518C"/>
    <w:rsid w:val="00235256"/>
    <w:rsid w:val="00237729"/>
    <w:rsid w:val="00237E71"/>
    <w:rsid w:val="002403FC"/>
    <w:rsid w:val="0024075D"/>
    <w:rsid w:val="002408A0"/>
    <w:rsid w:val="00243DFA"/>
    <w:rsid w:val="00247527"/>
    <w:rsid w:val="0024762A"/>
    <w:rsid w:val="002502A1"/>
    <w:rsid w:val="00250982"/>
    <w:rsid w:val="00251B7D"/>
    <w:rsid w:val="00252247"/>
    <w:rsid w:val="0025363A"/>
    <w:rsid w:val="002539AE"/>
    <w:rsid w:val="00254BCF"/>
    <w:rsid w:val="00256175"/>
    <w:rsid w:val="00256949"/>
    <w:rsid w:val="0026092E"/>
    <w:rsid w:val="0026157B"/>
    <w:rsid w:val="00262107"/>
    <w:rsid w:val="00262BD1"/>
    <w:rsid w:val="00263165"/>
    <w:rsid w:val="002636C3"/>
    <w:rsid w:val="002659A0"/>
    <w:rsid w:val="00266661"/>
    <w:rsid w:val="00271616"/>
    <w:rsid w:val="00274397"/>
    <w:rsid w:val="002743F9"/>
    <w:rsid w:val="0027571C"/>
    <w:rsid w:val="00275B43"/>
    <w:rsid w:val="00275D46"/>
    <w:rsid w:val="0027615C"/>
    <w:rsid w:val="00276BF7"/>
    <w:rsid w:val="002802D2"/>
    <w:rsid w:val="00281CE6"/>
    <w:rsid w:val="002820A7"/>
    <w:rsid w:val="00283338"/>
    <w:rsid w:val="00284F09"/>
    <w:rsid w:val="002851C5"/>
    <w:rsid w:val="00287153"/>
    <w:rsid w:val="002879AE"/>
    <w:rsid w:val="00287F3C"/>
    <w:rsid w:val="0029102A"/>
    <w:rsid w:val="0029150F"/>
    <w:rsid w:val="0029309C"/>
    <w:rsid w:val="00293C57"/>
    <w:rsid w:val="0029404C"/>
    <w:rsid w:val="002945C8"/>
    <w:rsid w:val="002945FB"/>
    <w:rsid w:val="00294E9D"/>
    <w:rsid w:val="002951F3"/>
    <w:rsid w:val="00295672"/>
    <w:rsid w:val="002A153A"/>
    <w:rsid w:val="002A31B0"/>
    <w:rsid w:val="002A3876"/>
    <w:rsid w:val="002A38AE"/>
    <w:rsid w:val="002A41A3"/>
    <w:rsid w:val="002A5E90"/>
    <w:rsid w:val="002A7176"/>
    <w:rsid w:val="002A7792"/>
    <w:rsid w:val="002A7F3C"/>
    <w:rsid w:val="002B0837"/>
    <w:rsid w:val="002B1341"/>
    <w:rsid w:val="002B1FB6"/>
    <w:rsid w:val="002B25E5"/>
    <w:rsid w:val="002B3CBC"/>
    <w:rsid w:val="002C0FB1"/>
    <w:rsid w:val="002D18E3"/>
    <w:rsid w:val="002D2262"/>
    <w:rsid w:val="002D32C2"/>
    <w:rsid w:val="002D3BCE"/>
    <w:rsid w:val="002D466F"/>
    <w:rsid w:val="002D6452"/>
    <w:rsid w:val="002D67B3"/>
    <w:rsid w:val="002D6BC5"/>
    <w:rsid w:val="002D799A"/>
    <w:rsid w:val="002E01E1"/>
    <w:rsid w:val="002E2024"/>
    <w:rsid w:val="002E3776"/>
    <w:rsid w:val="002E5E15"/>
    <w:rsid w:val="002E68BE"/>
    <w:rsid w:val="002E6DDB"/>
    <w:rsid w:val="002F1C66"/>
    <w:rsid w:val="002F1D40"/>
    <w:rsid w:val="002F477A"/>
    <w:rsid w:val="002F4F61"/>
    <w:rsid w:val="002F57BD"/>
    <w:rsid w:val="002F6212"/>
    <w:rsid w:val="002F674E"/>
    <w:rsid w:val="00300451"/>
    <w:rsid w:val="00300E79"/>
    <w:rsid w:val="00305893"/>
    <w:rsid w:val="00305CC6"/>
    <w:rsid w:val="0030718D"/>
    <w:rsid w:val="00307C36"/>
    <w:rsid w:val="003114F0"/>
    <w:rsid w:val="00312888"/>
    <w:rsid w:val="003137A7"/>
    <w:rsid w:val="003147D1"/>
    <w:rsid w:val="00314AD4"/>
    <w:rsid w:val="003151DA"/>
    <w:rsid w:val="00315D78"/>
    <w:rsid w:val="00315FA0"/>
    <w:rsid w:val="003174A1"/>
    <w:rsid w:val="003178DA"/>
    <w:rsid w:val="0031797F"/>
    <w:rsid w:val="00321DB7"/>
    <w:rsid w:val="0032328B"/>
    <w:rsid w:val="0032328C"/>
    <w:rsid w:val="00323EE6"/>
    <w:rsid w:val="003245D6"/>
    <w:rsid w:val="00325F4B"/>
    <w:rsid w:val="00330AE8"/>
    <w:rsid w:val="00331608"/>
    <w:rsid w:val="003328FA"/>
    <w:rsid w:val="00337912"/>
    <w:rsid w:val="00340FAD"/>
    <w:rsid w:val="00341106"/>
    <w:rsid w:val="00341CCD"/>
    <w:rsid w:val="00343345"/>
    <w:rsid w:val="00344C34"/>
    <w:rsid w:val="00345737"/>
    <w:rsid w:val="00345B83"/>
    <w:rsid w:val="00346FFB"/>
    <w:rsid w:val="00350DA8"/>
    <w:rsid w:val="003510B0"/>
    <w:rsid w:val="00352AA4"/>
    <w:rsid w:val="00352EA8"/>
    <w:rsid w:val="0035345F"/>
    <w:rsid w:val="00353D2A"/>
    <w:rsid w:val="003547ED"/>
    <w:rsid w:val="00354F0C"/>
    <w:rsid w:val="00356AD1"/>
    <w:rsid w:val="0035741D"/>
    <w:rsid w:val="00360180"/>
    <w:rsid w:val="00360D77"/>
    <w:rsid w:val="0036221A"/>
    <w:rsid w:val="00362AA5"/>
    <w:rsid w:val="00363831"/>
    <w:rsid w:val="00365359"/>
    <w:rsid w:val="00367AB7"/>
    <w:rsid w:val="003717D7"/>
    <w:rsid w:val="0037570C"/>
    <w:rsid w:val="003759DA"/>
    <w:rsid w:val="00377400"/>
    <w:rsid w:val="00384552"/>
    <w:rsid w:val="00384FD5"/>
    <w:rsid w:val="003851B5"/>
    <w:rsid w:val="00385316"/>
    <w:rsid w:val="00385EAA"/>
    <w:rsid w:val="00385F63"/>
    <w:rsid w:val="0039360F"/>
    <w:rsid w:val="00393844"/>
    <w:rsid w:val="00393CBA"/>
    <w:rsid w:val="00395728"/>
    <w:rsid w:val="00396CFE"/>
    <w:rsid w:val="003A011C"/>
    <w:rsid w:val="003A0C86"/>
    <w:rsid w:val="003A0E4A"/>
    <w:rsid w:val="003A2A25"/>
    <w:rsid w:val="003A71A5"/>
    <w:rsid w:val="003A720D"/>
    <w:rsid w:val="003A76E9"/>
    <w:rsid w:val="003B0BFD"/>
    <w:rsid w:val="003B1EF1"/>
    <w:rsid w:val="003B1F02"/>
    <w:rsid w:val="003B23D2"/>
    <w:rsid w:val="003B3C2D"/>
    <w:rsid w:val="003B48CE"/>
    <w:rsid w:val="003B4A28"/>
    <w:rsid w:val="003B5A74"/>
    <w:rsid w:val="003B69C3"/>
    <w:rsid w:val="003B6EAA"/>
    <w:rsid w:val="003B740B"/>
    <w:rsid w:val="003B764E"/>
    <w:rsid w:val="003C19EE"/>
    <w:rsid w:val="003C2029"/>
    <w:rsid w:val="003C46D5"/>
    <w:rsid w:val="003C4DF2"/>
    <w:rsid w:val="003C4E8D"/>
    <w:rsid w:val="003C726E"/>
    <w:rsid w:val="003C7962"/>
    <w:rsid w:val="003C7B14"/>
    <w:rsid w:val="003D0621"/>
    <w:rsid w:val="003D0AE7"/>
    <w:rsid w:val="003D1DAA"/>
    <w:rsid w:val="003D2B3D"/>
    <w:rsid w:val="003D465B"/>
    <w:rsid w:val="003D5989"/>
    <w:rsid w:val="003D6090"/>
    <w:rsid w:val="003D7A84"/>
    <w:rsid w:val="003E009A"/>
    <w:rsid w:val="003E03E5"/>
    <w:rsid w:val="003E0759"/>
    <w:rsid w:val="003E0937"/>
    <w:rsid w:val="003E3830"/>
    <w:rsid w:val="003E3DD3"/>
    <w:rsid w:val="003E46F2"/>
    <w:rsid w:val="003F09FC"/>
    <w:rsid w:val="003F2C8B"/>
    <w:rsid w:val="003F39D3"/>
    <w:rsid w:val="003F4302"/>
    <w:rsid w:val="003F4884"/>
    <w:rsid w:val="003F4EE3"/>
    <w:rsid w:val="003F5754"/>
    <w:rsid w:val="003F5A52"/>
    <w:rsid w:val="003F6466"/>
    <w:rsid w:val="003F6821"/>
    <w:rsid w:val="003F6B98"/>
    <w:rsid w:val="003F6C80"/>
    <w:rsid w:val="00400C2F"/>
    <w:rsid w:val="0040128F"/>
    <w:rsid w:val="0040137A"/>
    <w:rsid w:val="004015C5"/>
    <w:rsid w:val="004026A8"/>
    <w:rsid w:val="00404569"/>
    <w:rsid w:val="00405575"/>
    <w:rsid w:val="00405F19"/>
    <w:rsid w:val="004060C5"/>
    <w:rsid w:val="00406D8B"/>
    <w:rsid w:val="00407336"/>
    <w:rsid w:val="00410FCB"/>
    <w:rsid w:val="00411C91"/>
    <w:rsid w:val="0041210C"/>
    <w:rsid w:val="004156AD"/>
    <w:rsid w:val="00417261"/>
    <w:rsid w:val="00417C40"/>
    <w:rsid w:val="00417C9B"/>
    <w:rsid w:val="0042057E"/>
    <w:rsid w:val="00422268"/>
    <w:rsid w:val="00423501"/>
    <w:rsid w:val="00423F63"/>
    <w:rsid w:val="00424A29"/>
    <w:rsid w:val="0042626E"/>
    <w:rsid w:val="00426EFA"/>
    <w:rsid w:val="00427B09"/>
    <w:rsid w:val="00427F83"/>
    <w:rsid w:val="00431578"/>
    <w:rsid w:val="00431B96"/>
    <w:rsid w:val="00433460"/>
    <w:rsid w:val="00433B7D"/>
    <w:rsid w:val="00434A02"/>
    <w:rsid w:val="00434F23"/>
    <w:rsid w:val="00435BFB"/>
    <w:rsid w:val="004365BF"/>
    <w:rsid w:val="00436755"/>
    <w:rsid w:val="0043679A"/>
    <w:rsid w:val="00445BD3"/>
    <w:rsid w:val="004460E3"/>
    <w:rsid w:val="00447780"/>
    <w:rsid w:val="004508CD"/>
    <w:rsid w:val="004522E5"/>
    <w:rsid w:val="004528AE"/>
    <w:rsid w:val="00452CBA"/>
    <w:rsid w:val="00452EF7"/>
    <w:rsid w:val="00453083"/>
    <w:rsid w:val="0045369D"/>
    <w:rsid w:val="00454F5E"/>
    <w:rsid w:val="004579CC"/>
    <w:rsid w:val="004608FA"/>
    <w:rsid w:val="0046308F"/>
    <w:rsid w:val="004635CC"/>
    <w:rsid w:val="00464FAA"/>
    <w:rsid w:val="00465AF0"/>
    <w:rsid w:val="00467D75"/>
    <w:rsid w:val="00471622"/>
    <w:rsid w:val="00472DFE"/>
    <w:rsid w:val="00473D02"/>
    <w:rsid w:val="00474748"/>
    <w:rsid w:val="00474786"/>
    <w:rsid w:val="004754F4"/>
    <w:rsid w:val="004759D5"/>
    <w:rsid w:val="00476539"/>
    <w:rsid w:val="00476E6F"/>
    <w:rsid w:val="00481465"/>
    <w:rsid w:val="004817C8"/>
    <w:rsid w:val="00481B14"/>
    <w:rsid w:val="004827AD"/>
    <w:rsid w:val="00482BC3"/>
    <w:rsid w:val="004842D3"/>
    <w:rsid w:val="00485985"/>
    <w:rsid w:val="0049022E"/>
    <w:rsid w:val="00490466"/>
    <w:rsid w:val="0049468F"/>
    <w:rsid w:val="004A0D5B"/>
    <w:rsid w:val="004A0E1A"/>
    <w:rsid w:val="004A11DF"/>
    <w:rsid w:val="004A14DF"/>
    <w:rsid w:val="004A2A82"/>
    <w:rsid w:val="004A3075"/>
    <w:rsid w:val="004A3F28"/>
    <w:rsid w:val="004A6DAD"/>
    <w:rsid w:val="004A6E99"/>
    <w:rsid w:val="004A7B4D"/>
    <w:rsid w:val="004B18BE"/>
    <w:rsid w:val="004B18CF"/>
    <w:rsid w:val="004B1F32"/>
    <w:rsid w:val="004B201A"/>
    <w:rsid w:val="004B3BA0"/>
    <w:rsid w:val="004B4FB6"/>
    <w:rsid w:val="004B5620"/>
    <w:rsid w:val="004B6C5F"/>
    <w:rsid w:val="004C0C31"/>
    <w:rsid w:val="004C1603"/>
    <w:rsid w:val="004C193C"/>
    <w:rsid w:val="004C21FB"/>
    <w:rsid w:val="004C255A"/>
    <w:rsid w:val="004C25DB"/>
    <w:rsid w:val="004C4204"/>
    <w:rsid w:val="004C5EB8"/>
    <w:rsid w:val="004C5F24"/>
    <w:rsid w:val="004C620D"/>
    <w:rsid w:val="004C68B6"/>
    <w:rsid w:val="004D0898"/>
    <w:rsid w:val="004D2468"/>
    <w:rsid w:val="004D4612"/>
    <w:rsid w:val="004D4F11"/>
    <w:rsid w:val="004D591D"/>
    <w:rsid w:val="004D5D3D"/>
    <w:rsid w:val="004E22C3"/>
    <w:rsid w:val="004E242A"/>
    <w:rsid w:val="004E2E76"/>
    <w:rsid w:val="004E3347"/>
    <w:rsid w:val="004E3930"/>
    <w:rsid w:val="004E4373"/>
    <w:rsid w:val="004E573A"/>
    <w:rsid w:val="004E5B41"/>
    <w:rsid w:val="004E5D40"/>
    <w:rsid w:val="004E79D1"/>
    <w:rsid w:val="004F0924"/>
    <w:rsid w:val="004F1F6B"/>
    <w:rsid w:val="004F2324"/>
    <w:rsid w:val="004F4087"/>
    <w:rsid w:val="004F60D7"/>
    <w:rsid w:val="004F6628"/>
    <w:rsid w:val="004F70C3"/>
    <w:rsid w:val="004F7F82"/>
    <w:rsid w:val="005037AD"/>
    <w:rsid w:val="005044F8"/>
    <w:rsid w:val="00504F29"/>
    <w:rsid w:val="005060B2"/>
    <w:rsid w:val="00507905"/>
    <w:rsid w:val="00507A2C"/>
    <w:rsid w:val="00511410"/>
    <w:rsid w:val="005140EB"/>
    <w:rsid w:val="00514C67"/>
    <w:rsid w:val="00514D65"/>
    <w:rsid w:val="00515F91"/>
    <w:rsid w:val="0051606A"/>
    <w:rsid w:val="00516713"/>
    <w:rsid w:val="00522D63"/>
    <w:rsid w:val="005236EA"/>
    <w:rsid w:val="00525828"/>
    <w:rsid w:val="005263AE"/>
    <w:rsid w:val="005276CC"/>
    <w:rsid w:val="005300F0"/>
    <w:rsid w:val="00533D75"/>
    <w:rsid w:val="00534774"/>
    <w:rsid w:val="00534E61"/>
    <w:rsid w:val="00540230"/>
    <w:rsid w:val="00542719"/>
    <w:rsid w:val="00542CDF"/>
    <w:rsid w:val="00544911"/>
    <w:rsid w:val="00545B20"/>
    <w:rsid w:val="005463FA"/>
    <w:rsid w:val="00547864"/>
    <w:rsid w:val="00554013"/>
    <w:rsid w:val="00554CEA"/>
    <w:rsid w:val="00556FC1"/>
    <w:rsid w:val="00560CA1"/>
    <w:rsid w:val="005650E2"/>
    <w:rsid w:val="00566645"/>
    <w:rsid w:val="00566A7A"/>
    <w:rsid w:val="00567468"/>
    <w:rsid w:val="00570852"/>
    <w:rsid w:val="00571129"/>
    <w:rsid w:val="00572307"/>
    <w:rsid w:val="00573EC0"/>
    <w:rsid w:val="005741EC"/>
    <w:rsid w:val="0057483D"/>
    <w:rsid w:val="00577075"/>
    <w:rsid w:val="00577898"/>
    <w:rsid w:val="00580164"/>
    <w:rsid w:val="00580227"/>
    <w:rsid w:val="00581C4C"/>
    <w:rsid w:val="00583362"/>
    <w:rsid w:val="0058433F"/>
    <w:rsid w:val="0058527C"/>
    <w:rsid w:val="00585458"/>
    <w:rsid w:val="0058624A"/>
    <w:rsid w:val="005865C3"/>
    <w:rsid w:val="0058695F"/>
    <w:rsid w:val="00586B27"/>
    <w:rsid w:val="00586BA2"/>
    <w:rsid w:val="0058710C"/>
    <w:rsid w:val="0059393B"/>
    <w:rsid w:val="00593DC2"/>
    <w:rsid w:val="0059460B"/>
    <w:rsid w:val="005948BF"/>
    <w:rsid w:val="00596459"/>
    <w:rsid w:val="005965C9"/>
    <w:rsid w:val="00596CFD"/>
    <w:rsid w:val="00597B24"/>
    <w:rsid w:val="005A103C"/>
    <w:rsid w:val="005A1653"/>
    <w:rsid w:val="005A1E7A"/>
    <w:rsid w:val="005A208D"/>
    <w:rsid w:val="005A2EC8"/>
    <w:rsid w:val="005A320A"/>
    <w:rsid w:val="005A34B8"/>
    <w:rsid w:val="005A35BE"/>
    <w:rsid w:val="005A4FAD"/>
    <w:rsid w:val="005A510E"/>
    <w:rsid w:val="005A5211"/>
    <w:rsid w:val="005A6D5C"/>
    <w:rsid w:val="005B2F28"/>
    <w:rsid w:val="005B3E95"/>
    <w:rsid w:val="005B5FBC"/>
    <w:rsid w:val="005C1565"/>
    <w:rsid w:val="005C2DAF"/>
    <w:rsid w:val="005C3583"/>
    <w:rsid w:val="005C3603"/>
    <w:rsid w:val="005C5119"/>
    <w:rsid w:val="005C644B"/>
    <w:rsid w:val="005C74B3"/>
    <w:rsid w:val="005C785F"/>
    <w:rsid w:val="005C7F85"/>
    <w:rsid w:val="005D0CE7"/>
    <w:rsid w:val="005D0E7C"/>
    <w:rsid w:val="005D123F"/>
    <w:rsid w:val="005D127E"/>
    <w:rsid w:val="005D191F"/>
    <w:rsid w:val="005D2248"/>
    <w:rsid w:val="005D2C82"/>
    <w:rsid w:val="005D30D6"/>
    <w:rsid w:val="005D3524"/>
    <w:rsid w:val="005D360A"/>
    <w:rsid w:val="005D372A"/>
    <w:rsid w:val="005D56FB"/>
    <w:rsid w:val="005D5B8A"/>
    <w:rsid w:val="005D5EC7"/>
    <w:rsid w:val="005D661C"/>
    <w:rsid w:val="005D694C"/>
    <w:rsid w:val="005D6AD0"/>
    <w:rsid w:val="005D7676"/>
    <w:rsid w:val="005D78E8"/>
    <w:rsid w:val="005E0151"/>
    <w:rsid w:val="005E27BA"/>
    <w:rsid w:val="005E3049"/>
    <w:rsid w:val="005E341A"/>
    <w:rsid w:val="005F386E"/>
    <w:rsid w:val="005F4957"/>
    <w:rsid w:val="005F7734"/>
    <w:rsid w:val="006000F5"/>
    <w:rsid w:val="006004C9"/>
    <w:rsid w:val="00600C27"/>
    <w:rsid w:val="00602570"/>
    <w:rsid w:val="00603FC5"/>
    <w:rsid w:val="00604BCC"/>
    <w:rsid w:val="00607184"/>
    <w:rsid w:val="00607B47"/>
    <w:rsid w:val="0061168E"/>
    <w:rsid w:val="0061169C"/>
    <w:rsid w:val="006119B3"/>
    <w:rsid w:val="006120C4"/>
    <w:rsid w:val="0061211F"/>
    <w:rsid w:val="006127D9"/>
    <w:rsid w:val="0061305F"/>
    <w:rsid w:val="0061333A"/>
    <w:rsid w:val="00614033"/>
    <w:rsid w:val="006142C2"/>
    <w:rsid w:val="0061442F"/>
    <w:rsid w:val="00615406"/>
    <w:rsid w:val="0062056D"/>
    <w:rsid w:val="006210B2"/>
    <w:rsid w:val="00622B0D"/>
    <w:rsid w:val="00622D35"/>
    <w:rsid w:val="00623FEA"/>
    <w:rsid w:val="00624277"/>
    <w:rsid w:val="0062528B"/>
    <w:rsid w:val="006257AF"/>
    <w:rsid w:val="00625B65"/>
    <w:rsid w:val="00626BA3"/>
    <w:rsid w:val="006274EE"/>
    <w:rsid w:val="0063011B"/>
    <w:rsid w:val="00631984"/>
    <w:rsid w:val="00632AEA"/>
    <w:rsid w:val="00633A15"/>
    <w:rsid w:val="00635AA0"/>
    <w:rsid w:val="00635B13"/>
    <w:rsid w:val="006370F4"/>
    <w:rsid w:val="006378EC"/>
    <w:rsid w:val="00641CD2"/>
    <w:rsid w:val="00643133"/>
    <w:rsid w:val="006448D0"/>
    <w:rsid w:val="0064493C"/>
    <w:rsid w:val="00645445"/>
    <w:rsid w:val="0064602B"/>
    <w:rsid w:val="006460F0"/>
    <w:rsid w:val="00646CCD"/>
    <w:rsid w:val="00650246"/>
    <w:rsid w:val="00650E7F"/>
    <w:rsid w:val="00651EE2"/>
    <w:rsid w:val="006536F6"/>
    <w:rsid w:val="0065484D"/>
    <w:rsid w:val="00655BC5"/>
    <w:rsid w:val="00656333"/>
    <w:rsid w:val="006629EB"/>
    <w:rsid w:val="0066362C"/>
    <w:rsid w:val="00663D39"/>
    <w:rsid w:val="00664EF1"/>
    <w:rsid w:val="0066579C"/>
    <w:rsid w:val="00665FFA"/>
    <w:rsid w:val="006660BB"/>
    <w:rsid w:val="0066651F"/>
    <w:rsid w:val="00670DC3"/>
    <w:rsid w:val="006710E1"/>
    <w:rsid w:val="00674968"/>
    <w:rsid w:val="00677727"/>
    <w:rsid w:val="00681877"/>
    <w:rsid w:val="00685790"/>
    <w:rsid w:val="00687D5D"/>
    <w:rsid w:val="006931E3"/>
    <w:rsid w:val="0069388D"/>
    <w:rsid w:val="00693C05"/>
    <w:rsid w:val="0069551B"/>
    <w:rsid w:val="00697EC6"/>
    <w:rsid w:val="006A0365"/>
    <w:rsid w:val="006A27C6"/>
    <w:rsid w:val="006A511D"/>
    <w:rsid w:val="006A748D"/>
    <w:rsid w:val="006B1223"/>
    <w:rsid w:val="006B475A"/>
    <w:rsid w:val="006B48CD"/>
    <w:rsid w:val="006B5C33"/>
    <w:rsid w:val="006C0176"/>
    <w:rsid w:val="006C0C59"/>
    <w:rsid w:val="006C125D"/>
    <w:rsid w:val="006C223C"/>
    <w:rsid w:val="006C314F"/>
    <w:rsid w:val="006C36DF"/>
    <w:rsid w:val="006C45DF"/>
    <w:rsid w:val="006C5EB0"/>
    <w:rsid w:val="006C69C9"/>
    <w:rsid w:val="006C79B3"/>
    <w:rsid w:val="006D0725"/>
    <w:rsid w:val="006D14AF"/>
    <w:rsid w:val="006D1966"/>
    <w:rsid w:val="006D4A8D"/>
    <w:rsid w:val="006D5C59"/>
    <w:rsid w:val="006D5D59"/>
    <w:rsid w:val="006D6D6D"/>
    <w:rsid w:val="006E0074"/>
    <w:rsid w:val="006E0FAF"/>
    <w:rsid w:val="006E10AF"/>
    <w:rsid w:val="006E10FB"/>
    <w:rsid w:val="006E18DC"/>
    <w:rsid w:val="006F0DD4"/>
    <w:rsid w:val="006F10D2"/>
    <w:rsid w:val="006F11D9"/>
    <w:rsid w:val="006F253A"/>
    <w:rsid w:val="006F2C24"/>
    <w:rsid w:val="006F3B2F"/>
    <w:rsid w:val="006F5312"/>
    <w:rsid w:val="006F6944"/>
    <w:rsid w:val="006F722F"/>
    <w:rsid w:val="007011B3"/>
    <w:rsid w:val="00701422"/>
    <w:rsid w:val="00701AF3"/>
    <w:rsid w:val="00702DFE"/>
    <w:rsid w:val="00704456"/>
    <w:rsid w:val="00706B1A"/>
    <w:rsid w:val="00706E25"/>
    <w:rsid w:val="00711BCB"/>
    <w:rsid w:val="00712629"/>
    <w:rsid w:val="00712F45"/>
    <w:rsid w:val="00712F5F"/>
    <w:rsid w:val="00713045"/>
    <w:rsid w:val="007134D6"/>
    <w:rsid w:val="00713F86"/>
    <w:rsid w:val="00715744"/>
    <w:rsid w:val="00715F51"/>
    <w:rsid w:val="007162BB"/>
    <w:rsid w:val="00717AD8"/>
    <w:rsid w:val="00720A1C"/>
    <w:rsid w:val="007212D4"/>
    <w:rsid w:val="007215B0"/>
    <w:rsid w:val="00721AC2"/>
    <w:rsid w:val="0072269B"/>
    <w:rsid w:val="00723297"/>
    <w:rsid w:val="007266D1"/>
    <w:rsid w:val="00730A9A"/>
    <w:rsid w:val="00730F3C"/>
    <w:rsid w:val="00732D8E"/>
    <w:rsid w:val="007335BC"/>
    <w:rsid w:val="00733A95"/>
    <w:rsid w:val="00734AE1"/>
    <w:rsid w:val="00734B07"/>
    <w:rsid w:val="00734D42"/>
    <w:rsid w:val="00735503"/>
    <w:rsid w:val="0073747E"/>
    <w:rsid w:val="0073773B"/>
    <w:rsid w:val="00740C84"/>
    <w:rsid w:val="00742C5E"/>
    <w:rsid w:val="00743CAB"/>
    <w:rsid w:val="00744218"/>
    <w:rsid w:val="00744C1F"/>
    <w:rsid w:val="00745A36"/>
    <w:rsid w:val="00747B14"/>
    <w:rsid w:val="00747DC9"/>
    <w:rsid w:val="00747E0A"/>
    <w:rsid w:val="00750FB2"/>
    <w:rsid w:val="00751969"/>
    <w:rsid w:val="00751992"/>
    <w:rsid w:val="00752175"/>
    <w:rsid w:val="00752693"/>
    <w:rsid w:val="007527FE"/>
    <w:rsid w:val="00752B03"/>
    <w:rsid w:val="0075660E"/>
    <w:rsid w:val="00756C2D"/>
    <w:rsid w:val="0076002A"/>
    <w:rsid w:val="007617C1"/>
    <w:rsid w:val="007635CB"/>
    <w:rsid w:val="00764E0D"/>
    <w:rsid w:val="00767658"/>
    <w:rsid w:val="00770ABA"/>
    <w:rsid w:val="007732D4"/>
    <w:rsid w:val="007739BC"/>
    <w:rsid w:val="00773DA8"/>
    <w:rsid w:val="0077479D"/>
    <w:rsid w:val="00775579"/>
    <w:rsid w:val="007755B5"/>
    <w:rsid w:val="00775B5F"/>
    <w:rsid w:val="00776E61"/>
    <w:rsid w:val="007772C7"/>
    <w:rsid w:val="0077759B"/>
    <w:rsid w:val="00777F8B"/>
    <w:rsid w:val="007816E8"/>
    <w:rsid w:val="00784905"/>
    <w:rsid w:val="007855A8"/>
    <w:rsid w:val="007858B0"/>
    <w:rsid w:val="00786CD3"/>
    <w:rsid w:val="007876E8"/>
    <w:rsid w:val="007878F7"/>
    <w:rsid w:val="007906ED"/>
    <w:rsid w:val="007907E0"/>
    <w:rsid w:val="00790D54"/>
    <w:rsid w:val="0079115C"/>
    <w:rsid w:val="007912EF"/>
    <w:rsid w:val="0079360F"/>
    <w:rsid w:val="00793EAD"/>
    <w:rsid w:val="007944A3"/>
    <w:rsid w:val="0079597D"/>
    <w:rsid w:val="007974DF"/>
    <w:rsid w:val="007975CB"/>
    <w:rsid w:val="007A0183"/>
    <w:rsid w:val="007A095F"/>
    <w:rsid w:val="007A1859"/>
    <w:rsid w:val="007A30E7"/>
    <w:rsid w:val="007A3F1A"/>
    <w:rsid w:val="007A4041"/>
    <w:rsid w:val="007A6728"/>
    <w:rsid w:val="007A698B"/>
    <w:rsid w:val="007A6E94"/>
    <w:rsid w:val="007A72DB"/>
    <w:rsid w:val="007B1F52"/>
    <w:rsid w:val="007B24F1"/>
    <w:rsid w:val="007B4383"/>
    <w:rsid w:val="007B6798"/>
    <w:rsid w:val="007B6F97"/>
    <w:rsid w:val="007B73E0"/>
    <w:rsid w:val="007C23FE"/>
    <w:rsid w:val="007C2D38"/>
    <w:rsid w:val="007C2EF2"/>
    <w:rsid w:val="007C3BD0"/>
    <w:rsid w:val="007C54B0"/>
    <w:rsid w:val="007C57DB"/>
    <w:rsid w:val="007C6A2A"/>
    <w:rsid w:val="007D02D2"/>
    <w:rsid w:val="007D0DEB"/>
    <w:rsid w:val="007D0EBD"/>
    <w:rsid w:val="007D1475"/>
    <w:rsid w:val="007D4ECB"/>
    <w:rsid w:val="007D5619"/>
    <w:rsid w:val="007D5A88"/>
    <w:rsid w:val="007D6A1A"/>
    <w:rsid w:val="007D782C"/>
    <w:rsid w:val="007E1935"/>
    <w:rsid w:val="007E3761"/>
    <w:rsid w:val="007E6BAC"/>
    <w:rsid w:val="007F04D8"/>
    <w:rsid w:val="007F0D83"/>
    <w:rsid w:val="007F1960"/>
    <w:rsid w:val="007F1FA6"/>
    <w:rsid w:val="007F20CC"/>
    <w:rsid w:val="007F262F"/>
    <w:rsid w:val="007F70B7"/>
    <w:rsid w:val="007F7631"/>
    <w:rsid w:val="0080210B"/>
    <w:rsid w:val="008036A5"/>
    <w:rsid w:val="008036E8"/>
    <w:rsid w:val="0080419C"/>
    <w:rsid w:val="00804705"/>
    <w:rsid w:val="008049A8"/>
    <w:rsid w:val="008061CD"/>
    <w:rsid w:val="008064B4"/>
    <w:rsid w:val="00807749"/>
    <w:rsid w:val="00807C2B"/>
    <w:rsid w:val="00807E63"/>
    <w:rsid w:val="008102B0"/>
    <w:rsid w:val="008127B8"/>
    <w:rsid w:val="00813B11"/>
    <w:rsid w:val="0081498D"/>
    <w:rsid w:val="00815580"/>
    <w:rsid w:val="00815CF5"/>
    <w:rsid w:val="008177C8"/>
    <w:rsid w:val="00822A5F"/>
    <w:rsid w:val="008235C6"/>
    <w:rsid w:val="0082402A"/>
    <w:rsid w:val="00824264"/>
    <w:rsid w:val="0082620C"/>
    <w:rsid w:val="00826EA4"/>
    <w:rsid w:val="008306AA"/>
    <w:rsid w:val="008307CC"/>
    <w:rsid w:val="00831C50"/>
    <w:rsid w:val="008345CE"/>
    <w:rsid w:val="00836339"/>
    <w:rsid w:val="008405A1"/>
    <w:rsid w:val="00840B36"/>
    <w:rsid w:val="00842763"/>
    <w:rsid w:val="00842E06"/>
    <w:rsid w:val="008435D4"/>
    <w:rsid w:val="00844420"/>
    <w:rsid w:val="00844FB6"/>
    <w:rsid w:val="00852360"/>
    <w:rsid w:val="008530AB"/>
    <w:rsid w:val="00853D41"/>
    <w:rsid w:val="008547F3"/>
    <w:rsid w:val="00855B04"/>
    <w:rsid w:val="00855B5E"/>
    <w:rsid w:val="00856740"/>
    <w:rsid w:val="0085738D"/>
    <w:rsid w:val="00860C6C"/>
    <w:rsid w:val="00862CB7"/>
    <w:rsid w:val="00862D89"/>
    <w:rsid w:val="008630F1"/>
    <w:rsid w:val="00864E97"/>
    <w:rsid w:val="00866F21"/>
    <w:rsid w:val="00870A0F"/>
    <w:rsid w:val="00871617"/>
    <w:rsid w:val="00873D7E"/>
    <w:rsid w:val="00874AEF"/>
    <w:rsid w:val="00874DA1"/>
    <w:rsid w:val="00875CDF"/>
    <w:rsid w:val="00881CB6"/>
    <w:rsid w:val="008849C2"/>
    <w:rsid w:val="00885F5F"/>
    <w:rsid w:val="008878DA"/>
    <w:rsid w:val="00887D1E"/>
    <w:rsid w:val="00890625"/>
    <w:rsid w:val="008908B3"/>
    <w:rsid w:val="008911D4"/>
    <w:rsid w:val="00894465"/>
    <w:rsid w:val="00895094"/>
    <w:rsid w:val="00896F86"/>
    <w:rsid w:val="00897235"/>
    <w:rsid w:val="008974C9"/>
    <w:rsid w:val="00897C3A"/>
    <w:rsid w:val="008A0882"/>
    <w:rsid w:val="008A1021"/>
    <w:rsid w:val="008A144A"/>
    <w:rsid w:val="008A366D"/>
    <w:rsid w:val="008A3D16"/>
    <w:rsid w:val="008A4393"/>
    <w:rsid w:val="008A55A7"/>
    <w:rsid w:val="008A7C9D"/>
    <w:rsid w:val="008A7D49"/>
    <w:rsid w:val="008B0442"/>
    <w:rsid w:val="008B08FA"/>
    <w:rsid w:val="008B0A98"/>
    <w:rsid w:val="008B322B"/>
    <w:rsid w:val="008B46C8"/>
    <w:rsid w:val="008B508B"/>
    <w:rsid w:val="008B5B90"/>
    <w:rsid w:val="008B6645"/>
    <w:rsid w:val="008B6E14"/>
    <w:rsid w:val="008B6EE9"/>
    <w:rsid w:val="008C0B0C"/>
    <w:rsid w:val="008C3C43"/>
    <w:rsid w:val="008C6215"/>
    <w:rsid w:val="008C778F"/>
    <w:rsid w:val="008C7F6C"/>
    <w:rsid w:val="008D1E38"/>
    <w:rsid w:val="008D23CA"/>
    <w:rsid w:val="008D24FA"/>
    <w:rsid w:val="008D25C0"/>
    <w:rsid w:val="008D2F4F"/>
    <w:rsid w:val="008D3D2F"/>
    <w:rsid w:val="008D3D34"/>
    <w:rsid w:val="008D3E1D"/>
    <w:rsid w:val="008D4B15"/>
    <w:rsid w:val="008D4EE8"/>
    <w:rsid w:val="008D5365"/>
    <w:rsid w:val="008D57CA"/>
    <w:rsid w:val="008D66B8"/>
    <w:rsid w:val="008D749F"/>
    <w:rsid w:val="008D79EE"/>
    <w:rsid w:val="008E0038"/>
    <w:rsid w:val="008E039C"/>
    <w:rsid w:val="008E0733"/>
    <w:rsid w:val="008E0AE2"/>
    <w:rsid w:val="008E250D"/>
    <w:rsid w:val="008E260E"/>
    <w:rsid w:val="008E32FB"/>
    <w:rsid w:val="008E4D5D"/>
    <w:rsid w:val="008E5137"/>
    <w:rsid w:val="008E6C0A"/>
    <w:rsid w:val="008E7F1B"/>
    <w:rsid w:val="008F126C"/>
    <w:rsid w:val="008F1349"/>
    <w:rsid w:val="008F3C9C"/>
    <w:rsid w:val="008F3EDA"/>
    <w:rsid w:val="008F54B3"/>
    <w:rsid w:val="008F5B20"/>
    <w:rsid w:val="00900A0E"/>
    <w:rsid w:val="00901F0F"/>
    <w:rsid w:val="00903191"/>
    <w:rsid w:val="00903286"/>
    <w:rsid w:val="00905C30"/>
    <w:rsid w:val="00905E1A"/>
    <w:rsid w:val="00906263"/>
    <w:rsid w:val="00906451"/>
    <w:rsid w:val="00907915"/>
    <w:rsid w:val="00907A19"/>
    <w:rsid w:val="00907B31"/>
    <w:rsid w:val="00912653"/>
    <w:rsid w:val="009134E1"/>
    <w:rsid w:val="00916EB9"/>
    <w:rsid w:val="009171A1"/>
    <w:rsid w:val="00917B12"/>
    <w:rsid w:val="00922E44"/>
    <w:rsid w:val="0092342C"/>
    <w:rsid w:val="00923694"/>
    <w:rsid w:val="0092397C"/>
    <w:rsid w:val="00924AFA"/>
    <w:rsid w:val="009256C8"/>
    <w:rsid w:val="009263E8"/>
    <w:rsid w:val="00930247"/>
    <w:rsid w:val="0093156E"/>
    <w:rsid w:val="00931B19"/>
    <w:rsid w:val="0093299A"/>
    <w:rsid w:val="0093314E"/>
    <w:rsid w:val="009333DA"/>
    <w:rsid w:val="009336DA"/>
    <w:rsid w:val="0093624F"/>
    <w:rsid w:val="009376A7"/>
    <w:rsid w:val="00937C7D"/>
    <w:rsid w:val="00940892"/>
    <w:rsid w:val="00941383"/>
    <w:rsid w:val="009418ED"/>
    <w:rsid w:val="00943908"/>
    <w:rsid w:val="00945154"/>
    <w:rsid w:val="00950D3A"/>
    <w:rsid w:val="00953234"/>
    <w:rsid w:val="00953F5C"/>
    <w:rsid w:val="00956DE0"/>
    <w:rsid w:val="009571F4"/>
    <w:rsid w:val="00957FE7"/>
    <w:rsid w:val="00961790"/>
    <w:rsid w:val="00962061"/>
    <w:rsid w:val="009628F1"/>
    <w:rsid w:val="0096401B"/>
    <w:rsid w:val="0096535A"/>
    <w:rsid w:val="009668F0"/>
    <w:rsid w:val="009679C3"/>
    <w:rsid w:val="00970787"/>
    <w:rsid w:val="009725B9"/>
    <w:rsid w:val="009729F7"/>
    <w:rsid w:val="00972C87"/>
    <w:rsid w:val="00973BBF"/>
    <w:rsid w:val="009745C5"/>
    <w:rsid w:val="009762EC"/>
    <w:rsid w:val="00976C44"/>
    <w:rsid w:val="00976DD6"/>
    <w:rsid w:val="00976F6F"/>
    <w:rsid w:val="009772C9"/>
    <w:rsid w:val="009830A2"/>
    <w:rsid w:val="009834D7"/>
    <w:rsid w:val="00984587"/>
    <w:rsid w:val="00984C69"/>
    <w:rsid w:val="009908BD"/>
    <w:rsid w:val="00990CBB"/>
    <w:rsid w:val="0099150E"/>
    <w:rsid w:val="0099163B"/>
    <w:rsid w:val="00993138"/>
    <w:rsid w:val="00993A77"/>
    <w:rsid w:val="0099536C"/>
    <w:rsid w:val="00995A02"/>
    <w:rsid w:val="00995E7D"/>
    <w:rsid w:val="009967AB"/>
    <w:rsid w:val="0099709B"/>
    <w:rsid w:val="00997EA1"/>
    <w:rsid w:val="009A2174"/>
    <w:rsid w:val="009A2F4A"/>
    <w:rsid w:val="009A35E0"/>
    <w:rsid w:val="009A3A49"/>
    <w:rsid w:val="009A4103"/>
    <w:rsid w:val="009A4968"/>
    <w:rsid w:val="009A5837"/>
    <w:rsid w:val="009A6D12"/>
    <w:rsid w:val="009A7D80"/>
    <w:rsid w:val="009B0BEF"/>
    <w:rsid w:val="009B1397"/>
    <w:rsid w:val="009B2219"/>
    <w:rsid w:val="009B273C"/>
    <w:rsid w:val="009B2EA4"/>
    <w:rsid w:val="009B394A"/>
    <w:rsid w:val="009B4373"/>
    <w:rsid w:val="009B5F25"/>
    <w:rsid w:val="009B64E4"/>
    <w:rsid w:val="009B6F7B"/>
    <w:rsid w:val="009C0E16"/>
    <w:rsid w:val="009C11ED"/>
    <w:rsid w:val="009C43E8"/>
    <w:rsid w:val="009C5E14"/>
    <w:rsid w:val="009D060C"/>
    <w:rsid w:val="009D0860"/>
    <w:rsid w:val="009D1D5B"/>
    <w:rsid w:val="009D1F0F"/>
    <w:rsid w:val="009D4966"/>
    <w:rsid w:val="009D5148"/>
    <w:rsid w:val="009D5478"/>
    <w:rsid w:val="009D61C7"/>
    <w:rsid w:val="009E25E6"/>
    <w:rsid w:val="009E2CE0"/>
    <w:rsid w:val="009E342C"/>
    <w:rsid w:val="009E5156"/>
    <w:rsid w:val="009E6302"/>
    <w:rsid w:val="009E75BD"/>
    <w:rsid w:val="009F231E"/>
    <w:rsid w:val="009F34FD"/>
    <w:rsid w:val="009F5F84"/>
    <w:rsid w:val="00A0258D"/>
    <w:rsid w:val="00A04EC2"/>
    <w:rsid w:val="00A04EE3"/>
    <w:rsid w:val="00A04F2E"/>
    <w:rsid w:val="00A054C3"/>
    <w:rsid w:val="00A06C74"/>
    <w:rsid w:val="00A07258"/>
    <w:rsid w:val="00A07C24"/>
    <w:rsid w:val="00A07CE5"/>
    <w:rsid w:val="00A104A9"/>
    <w:rsid w:val="00A11B8D"/>
    <w:rsid w:val="00A11F0E"/>
    <w:rsid w:val="00A12CF7"/>
    <w:rsid w:val="00A156BC"/>
    <w:rsid w:val="00A167CC"/>
    <w:rsid w:val="00A21340"/>
    <w:rsid w:val="00A24C6C"/>
    <w:rsid w:val="00A251C5"/>
    <w:rsid w:val="00A273DE"/>
    <w:rsid w:val="00A27F4D"/>
    <w:rsid w:val="00A34789"/>
    <w:rsid w:val="00A36346"/>
    <w:rsid w:val="00A37FC0"/>
    <w:rsid w:val="00A417A4"/>
    <w:rsid w:val="00A42700"/>
    <w:rsid w:val="00A42EBF"/>
    <w:rsid w:val="00A44EBC"/>
    <w:rsid w:val="00A45119"/>
    <w:rsid w:val="00A45178"/>
    <w:rsid w:val="00A46061"/>
    <w:rsid w:val="00A4671C"/>
    <w:rsid w:val="00A46B4F"/>
    <w:rsid w:val="00A47507"/>
    <w:rsid w:val="00A4799E"/>
    <w:rsid w:val="00A505F1"/>
    <w:rsid w:val="00A51665"/>
    <w:rsid w:val="00A5239E"/>
    <w:rsid w:val="00A56E80"/>
    <w:rsid w:val="00A5727C"/>
    <w:rsid w:val="00A60425"/>
    <w:rsid w:val="00A606BF"/>
    <w:rsid w:val="00A656AA"/>
    <w:rsid w:val="00A65A4E"/>
    <w:rsid w:val="00A65D74"/>
    <w:rsid w:val="00A66352"/>
    <w:rsid w:val="00A66C01"/>
    <w:rsid w:val="00A67EF8"/>
    <w:rsid w:val="00A704EC"/>
    <w:rsid w:val="00A74017"/>
    <w:rsid w:val="00A74C6E"/>
    <w:rsid w:val="00A750A6"/>
    <w:rsid w:val="00A814A8"/>
    <w:rsid w:val="00A81505"/>
    <w:rsid w:val="00A8162C"/>
    <w:rsid w:val="00A8204C"/>
    <w:rsid w:val="00A8262E"/>
    <w:rsid w:val="00A82A62"/>
    <w:rsid w:val="00A82AEF"/>
    <w:rsid w:val="00A841A6"/>
    <w:rsid w:val="00A8524B"/>
    <w:rsid w:val="00A85E10"/>
    <w:rsid w:val="00A86AAA"/>
    <w:rsid w:val="00A903FC"/>
    <w:rsid w:val="00A904C0"/>
    <w:rsid w:val="00A912DC"/>
    <w:rsid w:val="00A92557"/>
    <w:rsid w:val="00A92B00"/>
    <w:rsid w:val="00A94042"/>
    <w:rsid w:val="00A947DE"/>
    <w:rsid w:val="00A94C57"/>
    <w:rsid w:val="00A95118"/>
    <w:rsid w:val="00A9566A"/>
    <w:rsid w:val="00A96504"/>
    <w:rsid w:val="00A96573"/>
    <w:rsid w:val="00A97A1F"/>
    <w:rsid w:val="00AA1417"/>
    <w:rsid w:val="00AA167A"/>
    <w:rsid w:val="00AA17B8"/>
    <w:rsid w:val="00AA18C4"/>
    <w:rsid w:val="00AA2B4C"/>
    <w:rsid w:val="00AA30AB"/>
    <w:rsid w:val="00AA43EF"/>
    <w:rsid w:val="00AA690A"/>
    <w:rsid w:val="00AA76AB"/>
    <w:rsid w:val="00AB3157"/>
    <w:rsid w:val="00AB5205"/>
    <w:rsid w:val="00AB542A"/>
    <w:rsid w:val="00AB6D0B"/>
    <w:rsid w:val="00AB7E29"/>
    <w:rsid w:val="00AC0D79"/>
    <w:rsid w:val="00AC249F"/>
    <w:rsid w:val="00AC3B98"/>
    <w:rsid w:val="00AC4BAA"/>
    <w:rsid w:val="00AC5B10"/>
    <w:rsid w:val="00AC6FC9"/>
    <w:rsid w:val="00AC7FE4"/>
    <w:rsid w:val="00AD044E"/>
    <w:rsid w:val="00AD227D"/>
    <w:rsid w:val="00AD325F"/>
    <w:rsid w:val="00AD5C4C"/>
    <w:rsid w:val="00AE0A98"/>
    <w:rsid w:val="00AE0C0A"/>
    <w:rsid w:val="00AE1ADA"/>
    <w:rsid w:val="00AE1B48"/>
    <w:rsid w:val="00AE25F0"/>
    <w:rsid w:val="00AE28FE"/>
    <w:rsid w:val="00AE2F51"/>
    <w:rsid w:val="00AE3095"/>
    <w:rsid w:val="00AE31DD"/>
    <w:rsid w:val="00AE7603"/>
    <w:rsid w:val="00AE7E72"/>
    <w:rsid w:val="00AF13BC"/>
    <w:rsid w:val="00AF151F"/>
    <w:rsid w:val="00AF1E90"/>
    <w:rsid w:val="00AF396C"/>
    <w:rsid w:val="00AF475C"/>
    <w:rsid w:val="00AF479D"/>
    <w:rsid w:val="00B0021D"/>
    <w:rsid w:val="00B00E1E"/>
    <w:rsid w:val="00B02330"/>
    <w:rsid w:val="00B03892"/>
    <w:rsid w:val="00B04064"/>
    <w:rsid w:val="00B04750"/>
    <w:rsid w:val="00B05C84"/>
    <w:rsid w:val="00B05E34"/>
    <w:rsid w:val="00B065C8"/>
    <w:rsid w:val="00B06DC6"/>
    <w:rsid w:val="00B0717E"/>
    <w:rsid w:val="00B0767A"/>
    <w:rsid w:val="00B10401"/>
    <w:rsid w:val="00B123F6"/>
    <w:rsid w:val="00B127B2"/>
    <w:rsid w:val="00B14C99"/>
    <w:rsid w:val="00B1597A"/>
    <w:rsid w:val="00B222D4"/>
    <w:rsid w:val="00B22426"/>
    <w:rsid w:val="00B23634"/>
    <w:rsid w:val="00B24F6C"/>
    <w:rsid w:val="00B25491"/>
    <w:rsid w:val="00B2730D"/>
    <w:rsid w:val="00B32BC3"/>
    <w:rsid w:val="00B32F5F"/>
    <w:rsid w:val="00B3372D"/>
    <w:rsid w:val="00B362CC"/>
    <w:rsid w:val="00B367E5"/>
    <w:rsid w:val="00B36B71"/>
    <w:rsid w:val="00B36DE0"/>
    <w:rsid w:val="00B415DA"/>
    <w:rsid w:val="00B43731"/>
    <w:rsid w:val="00B43795"/>
    <w:rsid w:val="00B47088"/>
    <w:rsid w:val="00B50491"/>
    <w:rsid w:val="00B51EB5"/>
    <w:rsid w:val="00B5252B"/>
    <w:rsid w:val="00B53BD6"/>
    <w:rsid w:val="00B53F6A"/>
    <w:rsid w:val="00B565E0"/>
    <w:rsid w:val="00B62035"/>
    <w:rsid w:val="00B62605"/>
    <w:rsid w:val="00B63DCC"/>
    <w:rsid w:val="00B63E35"/>
    <w:rsid w:val="00B641A4"/>
    <w:rsid w:val="00B64470"/>
    <w:rsid w:val="00B647E5"/>
    <w:rsid w:val="00B64C34"/>
    <w:rsid w:val="00B65118"/>
    <w:rsid w:val="00B65313"/>
    <w:rsid w:val="00B65D24"/>
    <w:rsid w:val="00B661C7"/>
    <w:rsid w:val="00B67795"/>
    <w:rsid w:val="00B7140A"/>
    <w:rsid w:val="00B71741"/>
    <w:rsid w:val="00B71C98"/>
    <w:rsid w:val="00B72D6B"/>
    <w:rsid w:val="00B742CA"/>
    <w:rsid w:val="00B758EC"/>
    <w:rsid w:val="00B76927"/>
    <w:rsid w:val="00B77213"/>
    <w:rsid w:val="00B80D4F"/>
    <w:rsid w:val="00B815E8"/>
    <w:rsid w:val="00B8301B"/>
    <w:rsid w:val="00B86089"/>
    <w:rsid w:val="00B86418"/>
    <w:rsid w:val="00B8680A"/>
    <w:rsid w:val="00B87820"/>
    <w:rsid w:val="00B902D0"/>
    <w:rsid w:val="00B90469"/>
    <w:rsid w:val="00B9086A"/>
    <w:rsid w:val="00B90E10"/>
    <w:rsid w:val="00B915FE"/>
    <w:rsid w:val="00B91AB3"/>
    <w:rsid w:val="00B91C65"/>
    <w:rsid w:val="00B92F6A"/>
    <w:rsid w:val="00B93EDA"/>
    <w:rsid w:val="00B95036"/>
    <w:rsid w:val="00BA11AB"/>
    <w:rsid w:val="00BA1BB4"/>
    <w:rsid w:val="00BA2D45"/>
    <w:rsid w:val="00BA3E39"/>
    <w:rsid w:val="00BA4918"/>
    <w:rsid w:val="00BA535E"/>
    <w:rsid w:val="00BA5B38"/>
    <w:rsid w:val="00BA7674"/>
    <w:rsid w:val="00BA7909"/>
    <w:rsid w:val="00BB5799"/>
    <w:rsid w:val="00BB5B6A"/>
    <w:rsid w:val="00BB63C3"/>
    <w:rsid w:val="00BC0182"/>
    <w:rsid w:val="00BC0279"/>
    <w:rsid w:val="00BC219C"/>
    <w:rsid w:val="00BC2345"/>
    <w:rsid w:val="00BC3D54"/>
    <w:rsid w:val="00BC4582"/>
    <w:rsid w:val="00BC5FD1"/>
    <w:rsid w:val="00BD0C5E"/>
    <w:rsid w:val="00BD1E3E"/>
    <w:rsid w:val="00BD3F17"/>
    <w:rsid w:val="00BD5473"/>
    <w:rsid w:val="00BD75D0"/>
    <w:rsid w:val="00BE2B4E"/>
    <w:rsid w:val="00BF1EF6"/>
    <w:rsid w:val="00BF2922"/>
    <w:rsid w:val="00BF56DF"/>
    <w:rsid w:val="00BF57D2"/>
    <w:rsid w:val="00BF70A9"/>
    <w:rsid w:val="00BF79F1"/>
    <w:rsid w:val="00C002D1"/>
    <w:rsid w:val="00C01369"/>
    <w:rsid w:val="00C023B6"/>
    <w:rsid w:val="00C024C1"/>
    <w:rsid w:val="00C02C24"/>
    <w:rsid w:val="00C03D7F"/>
    <w:rsid w:val="00C04CC4"/>
    <w:rsid w:val="00C04F6B"/>
    <w:rsid w:val="00C0701D"/>
    <w:rsid w:val="00C07626"/>
    <w:rsid w:val="00C07E92"/>
    <w:rsid w:val="00C1091A"/>
    <w:rsid w:val="00C10DE3"/>
    <w:rsid w:val="00C11018"/>
    <w:rsid w:val="00C112B3"/>
    <w:rsid w:val="00C1321D"/>
    <w:rsid w:val="00C13A13"/>
    <w:rsid w:val="00C1565A"/>
    <w:rsid w:val="00C15775"/>
    <w:rsid w:val="00C1600F"/>
    <w:rsid w:val="00C16323"/>
    <w:rsid w:val="00C16370"/>
    <w:rsid w:val="00C16964"/>
    <w:rsid w:val="00C174FF"/>
    <w:rsid w:val="00C20BB6"/>
    <w:rsid w:val="00C251E8"/>
    <w:rsid w:val="00C3023A"/>
    <w:rsid w:val="00C3088D"/>
    <w:rsid w:val="00C311AE"/>
    <w:rsid w:val="00C3159C"/>
    <w:rsid w:val="00C3321E"/>
    <w:rsid w:val="00C33F72"/>
    <w:rsid w:val="00C36A30"/>
    <w:rsid w:val="00C379FD"/>
    <w:rsid w:val="00C37AC2"/>
    <w:rsid w:val="00C404CA"/>
    <w:rsid w:val="00C44AAA"/>
    <w:rsid w:val="00C44CB5"/>
    <w:rsid w:val="00C4598D"/>
    <w:rsid w:val="00C4657C"/>
    <w:rsid w:val="00C47272"/>
    <w:rsid w:val="00C50C84"/>
    <w:rsid w:val="00C514E7"/>
    <w:rsid w:val="00C52D3D"/>
    <w:rsid w:val="00C537EB"/>
    <w:rsid w:val="00C558F2"/>
    <w:rsid w:val="00C55FE6"/>
    <w:rsid w:val="00C57812"/>
    <w:rsid w:val="00C608F0"/>
    <w:rsid w:val="00C61B1A"/>
    <w:rsid w:val="00C659A1"/>
    <w:rsid w:val="00C65D03"/>
    <w:rsid w:val="00C66571"/>
    <w:rsid w:val="00C67403"/>
    <w:rsid w:val="00C67830"/>
    <w:rsid w:val="00C6798B"/>
    <w:rsid w:val="00C72816"/>
    <w:rsid w:val="00C731D8"/>
    <w:rsid w:val="00C762C9"/>
    <w:rsid w:val="00C7635F"/>
    <w:rsid w:val="00C76404"/>
    <w:rsid w:val="00C76A25"/>
    <w:rsid w:val="00C7751D"/>
    <w:rsid w:val="00C77545"/>
    <w:rsid w:val="00C777CB"/>
    <w:rsid w:val="00C77AA8"/>
    <w:rsid w:val="00C80E05"/>
    <w:rsid w:val="00C81B95"/>
    <w:rsid w:val="00C81CDE"/>
    <w:rsid w:val="00C853C5"/>
    <w:rsid w:val="00C85FE9"/>
    <w:rsid w:val="00C863C1"/>
    <w:rsid w:val="00C87B25"/>
    <w:rsid w:val="00C91383"/>
    <w:rsid w:val="00C91A0A"/>
    <w:rsid w:val="00C91B4F"/>
    <w:rsid w:val="00C920C2"/>
    <w:rsid w:val="00C92972"/>
    <w:rsid w:val="00C92ABD"/>
    <w:rsid w:val="00C94E2A"/>
    <w:rsid w:val="00C95B6D"/>
    <w:rsid w:val="00C963F9"/>
    <w:rsid w:val="00C965A1"/>
    <w:rsid w:val="00C967A1"/>
    <w:rsid w:val="00C9690C"/>
    <w:rsid w:val="00CA0047"/>
    <w:rsid w:val="00CA0E65"/>
    <w:rsid w:val="00CA1FEE"/>
    <w:rsid w:val="00CA2908"/>
    <w:rsid w:val="00CA2D96"/>
    <w:rsid w:val="00CA2E42"/>
    <w:rsid w:val="00CA36DC"/>
    <w:rsid w:val="00CA5DC8"/>
    <w:rsid w:val="00CA60AC"/>
    <w:rsid w:val="00CA61BB"/>
    <w:rsid w:val="00CA6778"/>
    <w:rsid w:val="00CA6C74"/>
    <w:rsid w:val="00CB00D1"/>
    <w:rsid w:val="00CB17A7"/>
    <w:rsid w:val="00CB1F99"/>
    <w:rsid w:val="00CB3BC0"/>
    <w:rsid w:val="00CB49CB"/>
    <w:rsid w:val="00CB4E7E"/>
    <w:rsid w:val="00CB631A"/>
    <w:rsid w:val="00CC0138"/>
    <w:rsid w:val="00CC051E"/>
    <w:rsid w:val="00CC17AC"/>
    <w:rsid w:val="00CC326C"/>
    <w:rsid w:val="00CC3416"/>
    <w:rsid w:val="00CC626D"/>
    <w:rsid w:val="00CC67FB"/>
    <w:rsid w:val="00CC6DF8"/>
    <w:rsid w:val="00CC777B"/>
    <w:rsid w:val="00CD0257"/>
    <w:rsid w:val="00CD02F4"/>
    <w:rsid w:val="00CD1A62"/>
    <w:rsid w:val="00CD1BE6"/>
    <w:rsid w:val="00CD1CF5"/>
    <w:rsid w:val="00CD4D3D"/>
    <w:rsid w:val="00CD4DF7"/>
    <w:rsid w:val="00CD6D50"/>
    <w:rsid w:val="00CE0271"/>
    <w:rsid w:val="00CE24CF"/>
    <w:rsid w:val="00CE320C"/>
    <w:rsid w:val="00CE3D75"/>
    <w:rsid w:val="00CE4856"/>
    <w:rsid w:val="00CE657E"/>
    <w:rsid w:val="00CE6B87"/>
    <w:rsid w:val="00CE775C"/>
    <w:rsid w:val="00CE7B1E"/>
    <w:rsid w:val="00CF5754"/>
    <w:rsid w:val="00CF59EA"/>
    <w:rsid w:val="00CF5C44"/>
    <w:rsid w:val="00CF5F4E"/>
    <w:rsid w:val="00CF6488"/>
    <w:rsid w:val="00CF6E7D"/>
    <w:rsid w:val="00D01AFB"/>
    <w:rsid w:val="00D03D6A"/>
    <w:rsid w:val="00D076F0"/>
    <w:rsid w:val="00D07E59"/>
    <w:rsid w:val="00D07F52"/>
    <w:rsid w:val="00D108FF"/>
    <w:rsid w:val="00D11683"/>
    <w:rsid w:val="00D140FC"/>
    <w:rsid w:val="00D153A2"/>
    <w:rsid w:val="00D15FD7"/>
    <w:rsid w:val="00D172B6"/>
    <w:rsid w:val="00D1783D"/>
    <w:rsid w:val="00D20FBD"/>
    <w:rsid w:val="00D224C7"/>
    <w:rsid w:val="00D23F19"/>
    <w:rsid w:val="00D26ABB"/>
    <w:rsid w:val="00D30400"/>
    <w:rsid w:val="00D30FCA"/>
    <w:rsid w:val="00D3183E"/>
    <w:rsid w:val="00D328B7"/>
    <w:rsid w:val="00D33F4E"/>
    <w:rsid w:val="00D37BC7"/>
    <w:rsid w:val="00D37D08"/>
    <w:rsid w:val="00D41EFB"/>
    <w:rsid w:val="00D433AC"/>
    <w:rsid w:val="00D43672"/>
    <w:rsid w:val="00D45687"/>
    <w:rsid w:val="00D45E5A"/>
    <w:rsid w:val="00D50EF1"/>
    <w:rsid w:val="00D50F55"/>
    <w:rsid w:val="00D51277"/>
    <w:rsid w:val="00D5211A"/>
    <w:rsid w:val="00D52655"/>
    <w:rsid w:val="00D53DD8"/>
    <w:rsid w:val="00D53E4E"/>
    <w:rsid w:val="00D56289"/>
    <w:rsid w:val="00D56783"/>
    <w:rsid w:val="00D62048"/>
    <w:rsid w:val="00D627C4"/>
    <w:rsid w:val="00D6359D"/>
    <w:rsid w:val="00D63880"/>
    <w:rsid w:val="00D63CB5"/>
    <w:rsid w:val="00D63E12"/>
    <w:rsid w:val="00D64006"/>
    <w:rsid w:val="00D640A3"/>
    <w:rsid w:val="00D6495D"/>
    <w:rsid w:val="00D70E3C"/>
    <w:rsid w:val="00D72A10"/>
    <w:rsid w:val="00D80392"/>
    <w:rsid w:val="00D80678"/>
    <w:rsid w:val="00D80F0F"/>
    <w:rsid w:val="00D81989"/>
    <w:rsid w:val="00D81CF2"/>
    <w:rsid w:val="00D830B8"/>
    <w:rsid w:val="00D856A8"/>
    <w:rsid w:val="00D85E1D"/>
    <w:rsid w:val="00D905BE"/>
    <w:rsid w:val="00D91E32"/>
    <w:rsid w:val="00D93FAE"/>
    <w:rsid w:val="00D96D70"/>
    <w:rsid w:val="00D96D86"/>
    <w:rsid w:val="00D96FC9"/>
    <w:rsid w:val="00D97DF8"/>
    <w:rsid w:val="00DA10D2"/>
    <w:rsid w:val="00DA1D0F"/>
    <w:rsid w:val="00DA2D0F"/>
    <w:rsid w:val="00DA33B7"/>
    <w:rsid w:val="00DA37D5"/>
    <w:rsid w:val="00DA5605"/>
    <w:rsid w:val="00DA6016"/>
    <w:rsid w:val="00DA6B55"/>
    <w:rsid w:val="00DB1966"/>
    <w:rsid w:val="00DB485E"/>
    <w:rsid w:val="00DC04FA"/>
    <w:rsid w:val="00DC0DBD"/>
    <w:rsid w:val="00DC188E"/>
    <w:rsid w:val="00DC31C1"/>
    <w:rsid w:val="00DC419F"/>
    <w:rsid w:val="00DC497E"/>
    <w:rsid w:val="00DC5971"/>
    <w:rsid w:val="00DC65BD"/>
    <w:rsid w:val="00DD0729"/>
    <w:rsid w:val="00DD1963"/>
    <w:rsid w:val="00DD1B1B"/>
    <w:rsid w:val="00DD1EF5"/>
    <w:rsid w:val="00DD2543"/>
    <w:rsid w:val="00DD3D00"/>
    <w:rsid w:val="00DD3E45"/>
    <w:rsid w:val="00DD5E84"/>
    <w:rsid w:val="00DE11B0"/>
    <w:rsid w:val="00DE1968"/>
    <w:rsid w:val="00DE28CE"/>
    <w:rsid w:val="00DE2A24"/>
    <w:rsid w:val="00DE2EAB"/>
    <w:rsid w:val="00DE4570"/>
    <w:rsid w:val="00DE57FF"/>
    <w:rsid w:val="00DE7225"/>
    <w:rsid w:val="00DF134A"/>
    <w:rsid w:val="00DF16DF"/>
    <w:rsid w:val="00DF1867"/>
    <w:rsid w:val="00DF1B6B"/>
    <w:rsid w:val="00DF2DF9"/>
    <w:rsid w:val="00DF2EC6"/>
    <w:rsid w:val="00DF3E73"/>
    <w:rsid w:val="00DF51D0"/>
    <w:rsid w:val="00DF6A84"/>
    <w:rsid w:val="00DF6CAC"/>
    <w:rsid w:val="00DF6E47"/>
    <w:rsid w:val="00DF74FA"/>
    <w:rsid w:val="00DF7E07"/>
    <w:rsid w:val="00E00211"/>
    <w:rsid w:val="00E00D19"/>
    <w:rsid w:val="00E01249"/>
    <w:rsid w:val="00E01A08"/>
    <w:rsid w:val="00E035C2"/>
    <w:rsid w:val="00E03D68"/>
    <w:rsid w:val="00E049A7"/>
    <w:rsid w:val="00E04E02"/>
    <w:rsid w:val="00E05828"/>
    <w:rsid w:val="00E05B18"/>
    <w:rsid w:val="00E111C9"/>
    <w:rsid w:val="00E12E4C"/>
    <w:rsid w:val="00E13058"/>
    <w:rsid w:val="00E14CA3"/>
    <w:rsid w:val="00E1558F"/>
    <w:rsid w:val="00E156C9"/>
    <w:rsid w:val="00E16099"/>
    <w:rsid w:val="00E16509"/>
    <w:rsid w:val="00E16B9D"/>
    <w:rsid w:val="00E17160"/>
    <w:rsid w:val="00E17519"/>
    <w:rsid w:val="00E17F10"/>
    <w:rsid w:val="00E20053"/>
    <w:rsid w:val="00E20703"/>
    <w:rsid w:val="00E23AB0"/>
    <w:rsid w:val="00E24758"/>
    <w:rsid w:val="00E26312"/>
    <w:rsid w:val="00E30376"/>
    <w:rsid w:val="00E30872"/>
    <w:rsid w:val="00E30A83"/>
    <w:rsid w:val="00E30C05"/>
    <w:rsid w:val="00E32DF5"/>
    <w:rsid w:val="00E32EF4"/>
    <w:rsid w:val="00E333CB"/>
    <w:rsid w:val="00E3436F"/>
    <w:rsid w:val="00E37305"/>
    <w:rsid w:val="00E40B77"/>
    <w:rsid w:val="00E40E39"/>
    <w:rsid w:val="00E410B3"/>
    <w:rsid w:val="00E414AB"/>
    <w:rsid w:val="00E418D8"/>
    <w:rsid w:val="00E4361A"/>
    <w:rsid w:val="00E449B2"/>
    <w:rsid w:val="00E464E6"/>
    <w:rsid w:val="00E4670B"/>
    <w:rsid w:val="00E46BBD"/>
    <w:rsid w:val="00E46C7A"/>
    <w:rsid w:val="00E50BDF"/>
    <w:rsid w:val="00E50DF3"/>
    <w:rsid w:val="00E53565"/>
    <w:rsid w:val="00E566C6"/>
    <w:rsid w:val="00E63377"/>
    <w:rsid w:val="00E63A7D"/>
    <w:rsid w:val="00E66343"/>
    <w:rsid w:val="00E66523"/>
    <w:rsid w:val="00E67DF9"/>
    <w:rsid w:val="00E70E5E"/>
    <w:rsid w:val="00E758F2"/>
    <w:rsid w:val="00E75A4E"/>
    <w:rsid w:val="00E76D9C"/>
    <w:rsid w:val="00E80B7B"/>
    <w:rsid w:val="00E8167F"/>
    <w:rsid w:val="00E83C94"/>
    <w:rsid w:val="00E84A51"/>
    <w:rsid w:val="00E85C69"/>
    <w:rsid w:val="00E866CF"/>
    <w:rsid w:val="00E86A8F"/>
    <w:rsid w:val="00E87108"/>
    <w:rsid w:val="00E8737C"/>
    <w:rsid w:val="00E876C3"/>
    <w:rsid w:val="00E87A58"/>
    <w:rsid w:val="00E87B8F"/>
    <w:rsid w:val="00E90315"/>
    <w:rsid w:val="00E90969"/>
    <w:rsid w:val="00E90B98"/>
    <w:rsid w:val="00E92E15"/>
    <w:rsid w:val="00E9563A"/>
    <w:rsid w:val="00E965CC"/>
    <w:rsid w:val="00E968C7"/>
    <w:rsid w:val="00EA25EE"/>
    <w:rsid w:val="00EA2911"/>
    <w:rsid w:val="00EA32EF"/>
    <w:rsid w:val="00EA3B64"/>
    <w:rsid w:val="00EA4255"/>
    <w:rsid w:val="00EA54D3"/>
    <w:rsid w:val="00EB06DD"/>
    <w:rsid w:val="00EB0727"/>
    <w:rsid w:val="00EB0D45"/>
    <w:rsid w:val="00EB18C3"/>
    <w:rsid w:val="00EB1EDD"/>
    <w:rsid w:val="00EB32F8"/>
    <w:rsid w:val="00EB4ECC"/>
    <w:rsid w:val="00EC086B"/>
    <w:rsid w:val="00EC10B5"/>
    <w:rsid w:val="00EC544A"/>
    <w:rsid w:val="00EC66B7"/>
    <w:rsid w:val="00EC6725"/>
    <w:rsid w:val="00EC6F43"/>
    <w:rsid w:val="00EC7528"/>
    <w:rsid w:val="00EC7A91"/>
    <w:rsid w:val="00ED0112"/>
    <w:rsid w:val="00ED276C"/>
    <w:rsid w:val="00ED4561"/>
    <w:rsid w:val="00ED5BAB"/>
    <w:rsid w:val="00ED6107"/>
    <w:rsid w:val="00ED6121"/>
    <w:rsid w:val="00ED6248"/>
    <w:rsid w:val="00ED7854"/>
    <w:rsid w:val="00EE0B08"/>
    <w:rsid w:val="00EE3167"/>
    <w:rsid w:val="00EE378E"/>
    <w:rsid w:val="00EE3B52"/>
    <w:rsid w:val="00EE7019"/>
    <w:rsid w:val="00EE72D2"/>
    <w:rsid w:val="00EF1C86"/>
    <w:rsid w:val="00EF21C2"/>
    <w:rsid w:val="00EF4029"/>
    <w:rsid w:val="00EF5EE0"/>
    <w:rsid w:val="00F0439E"/>
    <w:rsid w:val="00F04F5B"/>
    <w:rsid w:val="00F05D68"/>
    <w:rsid w:val="00F06EF6"/>
    <w:rsid w:val="00F06F58"/>
    <w:rsid w:val="00F0754D"/>
    <w:rsid w:val="00F10B0F"/>
    <w:rsid w:val="00F11E76"/>
    <w:rsid w:val="00F14CFA"/>
    <w:rsid w:val="00F17195"/>
    <w:rsid w:val="00F20653"/>
    <w:rsid w:val="00F209F0"/>
    <w:rsid w:val="00F24BB6"/>
    <w:rsid w:val="00F2528C"/>
    <w:rsid w:val="00F25445"/>
    <w:rsid w:val="00F2562F"/>
    <w:rsid w:val="00F26F0F"/>
    <w:rsid w:val="00F30852"/>
    <w:rsid w:val="00F311A9"/>
    <w:rsid w:val="00F319D3"/>
    <w:rsid w:val="00F31B5A"/>
    <w:rsid w:val="00F31E8C"/>
    <w:rsid w:val="00F32BD2"/>
    <w:rsid w:val="00F33A3B"/>
    <w:rsid w:val="00F34A85"/>
    <w:rsid w:val="00F34EC8"/>
    <w:rsid w:val="00F368AC"/>
    <w:rsid w:val="00F403C9"/>
    <w:rsid w:val="00F449E8"/>
    <w:rsid w:val="00F44C92"/>
    <w:rsid w:val="00F468C2"/>
    <w:rsid w:val="00F47F68"/>
    <w:rsid w:val="00F506F5"/>
    <w:rsid w:val="00F52D86"/>
    <w:rsid w:val="00F52FBE"/>
    <w:rsid w:val="00F53ABF"/>
    <w:rsid w:val="00F53B80"/>
    <w:rsid w:val="00F57D10"/>
    <w:rsid w:val="00F623E5"/>
    <w:rsid w:val="00F62884"/>
    <w:rsid w:val="00F63546"/>
    <w:rsid w:val="00F64A4B"/>
    <w:rsid w:val="00F6525C"/>
    <w:rsid w:val="00F65C89"/>
    <w:rsid w:val="00F676F5"/>
    <w:rsid w:val="00F6774E"/>
    <w:rsid w:val="00F67B5E"/>
    <w:rsid w:val="00F7125A"/>
    <w:rsid w:val="00F72C11"/>
    <w:rsid w:val="00F73058"/>
    <w:rsid w:val="00F758CF"/>
    <w:rsid w:val="00F758E4"/>
    <w:rsid w:val="00F766F1"/>
    <w:rsid w:val="00F76846"/>
    <w:rsid w:val="00F77A58"/>
    <w:rsid w:val="00F81A55"/>
    <w:rsid w:val="00F83227"/>
    <w:rsid w:val="00F83DAE"/>
    <w:rsid w:val="00F83FA2"/>
    <w:rsid w:val="00F83FBD"/>
    <w:rsid w:val="00F84126"/>
    <w:rsid w:val="00F84251"/>
    <w:rsid w:val="00F849B7"/>
    <w:rsid w:val="00F86731"/>
    <w:rsid w:val="00F8684E"/>
    <w:rsid w:val="00F86BE0"/>
    <w:rsid w:val="00F86C1F"/>
    <w:rsid w:val="00F93641"/>
    <w:rsid w:val="00F93E43"/>
    <w:rsid w:val="00F95AE1"/>
    <w:rsid w:val="00F9722A"/>
    <w:rsid w:val="00F97F88"/>
    <w:rsid w:val="00FA0C73"/>
    <w:rsid w:val="00FA1AE8"/>
    <w:rsid w:val="00FA1C27"/>
    <w:rsid w:val="00FA1D36"/>
    <w:rsid w:val="00FA34CE"/>
    <w:rsid w:val="00FA4685"/>
    <w:rsid w:val="00FA6176"/>
    <w:rsid w:val="00FA6EB1"/>
    <w:rsid w:val="00FB05D4"/>
    <w:rsid w:val="00FB187F"/>
    <w:rsid w:val="00FB22F4"/>
    <w:rsid w:val="00FB29BB"/>
    <w:rsid w:val="00FB45B3"/>
    <w:rsid w:val="00FB543C"/>
    <w:rsid w:val="00FC05EA"/>
    <w:rsid w:val="00FC2012"/>
    <w:rsid w:val="00FC322C"/>
    <w:rsid w:val="00FC35B8"/>
    <w:rsid w:val="00FC3F48"/>
    <w:rsid w:val="00FC4111"/>
    <w:rsid w:val="00FC50B0"/>
    <w:rsid w:val="00FC67A3"/>
    <w:rsid w:val="00FC781C"/>
    <w:rsid w:val="00FD0C39"/>
    <w:rsid w:val="00FD1C74"/>
    <w:rsid w:val="00FD2C8A"/>
    <w:rsid w:val="00FD42AB"/>
    <w:rsid w:val="00FD4FF8"/>
    <w:rsid w:val="00FD5140"/>
    <w:rsid w:val="00FD5F38"/>
    <w:rsid w:val="00FD7124"/>
    <w:rsid w:val="00FE0490"/>
    <w:rsid w:val="00FE1E40"/>
    <w:rsid w:val="00FE271A"/>
    <w:rsid w:val="00FE28F8"/>
    <w:rsid w:val="00FE2A56"/>
    <w:rsid w:val="00FE5933"/>
    <w:rsid w:val="00FE6DAE"/>
    <w:rsid w:val="00FE7D1C"/>
    <w:rsid w:val="00FF335D"/>
    <w:rsid w:val="00FF40DF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D58C960"/>
  <w14:defaultImageDpi w14:val="96"/>
  <w15:docId w15:val="{DADC73E8-8901-4373-9FCF-2C2DF4D0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BE"/>
    <w:pPr>
      <w:autoSpaceDE w:val="0"/>
      <w:autoSpaceDN w:val="0"/>
      <w:spacing w:after="0" w:line="240" w:lineRule="auto"/>
    </w:pPr>
    <w:rPr>
      <w:rFonts w:ascii="Arial" w:hAnsi="Arial"/>
      <w:sz w:val="18"/>
      <w:szCs w:val="20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E17160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06A"/>
    <w:pPr>
      <w:keepNext/>
      <w:autoSpaceDE/>
      <w:autoSpaceDN/>
      <w:spacing w:before="30" w:after="30"/>
      <w:jc w:val="right"/>
      <w:outlineLvl w:val="2"/>
    </w:pPr>
    <w:rPr>
      <w:rFonts w:eastAsia="Times New Roman"/>
      <w:b/>
      <w:bCs/>
      <w:color w:val="FFFFFF"/>
      <w:sz w:val="28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3CB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3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3CB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1606A"/>
    <w:rPr>
      <w:rFonts w:ascii="Times New Roman" w:eastAsia="Times New Roman" w:hAnsi="Times New Roman"/>
      <w:b/>
      <w:bCs/>
      <w:color w:val="FFFFFF"/>
      <w:sz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1606A"/>
    <w:pPr>
      <w:pBdr>
        <w:bottom w:val="single" w:sz="4" w:space="1" w:color="auto"/>
      </w:pBdr>
      <w:autoSpaceDE/>
      <w:autoSpaceDN/>
      <w:spacing w:after="240"/>
      <w:contextualSpacing/>
    </w:pPr>
    <w:rPr>
      <w:rFonts w:eastAsia="Times New Roman"/>
      <w:b/>
      <w:spacing w:val="5"/>
      <w:sz w:val="2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1606A"/>
    <w:rPr>
      <w:rFonts w:ascii="Times New Roman" w:eastAsia="Times New Roman" w:hAnsi="Times New Roman"/>
      <w:b/>
      <w:spacing w:val="5"/>
      <w:sz w:val="28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06A"/>
    <w:pPr>
      <w:autoSpaceDE/>
      <w:autoSpaceDN/>
      <w:spacing w:after="600"/>
    </w:pPr>
    <w:rPr>
      <w:rFonts w:eastAsia="Times New Roman"/>
      <w:b/>
      <w:iCs/>
      <w:spacing w:val="13"/>
      <w:sz w:val="36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1606A"/>
    <w:rPr>
      <w:rFonts w:ascii="Times New Roman" w:eastAsia="Times New Roman" w:hAnsi="Times New Roman"/>
      <w:b/>
      <w:iCs/>
      <w:spacing w:val="13"/>
      <w:sz w:val="36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17160"/>
    <w:rPr>
      <w:rFonts w:ascii="Arial" w:eastAsiaTheme="majorEastAsia" w:hAnsi="Arial" w:cstheme="majorBidi"/>
      <w:b/>
      <w:bCs/>
      <w:color w:val="000000" w:themeColor="text1"/>
      <w:sz w:val="20"/>
      <w:szCs w:val="28"/>
    </w:rPr>
  </w:style>
  <w:style w:type="paragraph" w:styleId="NoSpacing">
    <w:name w:val="No Spacing"/>
    <w:uiPriority w:val="1"/>
    <w:qFormat/>
    <w:rsid w:val="00E1716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73EC0"/>
    <w:pPr>
      <w:tabs>
        <w:tab w:val="right" w:leader="dot" w:pos="10790"/>
      </w:tabs>
      <w:spacing w:after="100"/>
    </w:pPr>
    <w:rPr>
      <w:rFonts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73EC0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A510E"/>
    <w:pPr>
      <w:autoSpaceDE/>
      <w:autoSpaceDN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E27BA"/>
    <w:pPr>
      <w:spacing w:after="200"/>
    </w:pPr>
    <w:rPr>
      <w:i/>
      <w:iCs/>
      <w:color w:val="1F497D" w:themeColor="text2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060B2"/>
  </w:style>
  <w:style w:type="paragraph" w:styleId="TableofFigures">
    <w:name w:val="table of figures"/>
    <w:basedOn w:val="Normal"/>
    <w:next w:val="Normal"/>
    <w:uiPriority w:val="99"/>
    <w:unhideWhenUsed/>
    <w:rsid w:val="0031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hart" Target="charts/chart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10" Type="http://schemas.openxmlformats.org/officeDocument/2006/relationships/image" Target="media/image1.jpg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MF_dashboard_Graph_Tem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MF_dashboard_Graph_Tem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MF_dashboard_Graph_Tem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MF_dashboard_Graph_Temp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232_ORCF_dashboard_Graph_Temp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232_ORCF_dashboard_Graph_Temp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242_dashboard_Graph_Temp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HWVANRP4660\DBs07\OPIIS\Risk%20Reports\Commercial%20Portfolio\Data%20Prep\202107\242_dashboard_Graph_Temp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'Active Insurance'!$B$1</c:f>
              <c:strCache>
                <c:ptCount val="1"/>
                <c:pt idx="0">
                  <c:v>Insurance-in-Force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'Active Insurance'!$A$2:$A$26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'Active Insurance'!$B$2:$B$26</c:f>
              <c:numCache>
                <c:formatCode>#,##0</c:formatCode>
                <c:ptCount val="25"/>
                <c:pt idx="0">
                  <c:v>99894863981.579742</c:v>
                </c:pt>
                <c:pt idx="1">
                  <c:v>100149877013.61009</c:v>
                </c:pt>
                <c:pt idx="2">
                  <c:v>100577987462.81981</c:v>
                </c:pt>
                <c:pt idx="3">
                  <c:v>100682414633.69011</c:v>
                </c:pt>
                <c:pt idx="4">
                  <c:v>101452873511.17982</c:v>
                </c:pt>
                <c:pt idx="5">
                  <c:v>101927498445.51968</c:v>
                </c:pt>
                <c:pt idx="6">
                  <c:v>103035017307.53951</c:v>
                </c:pt>
                <c:pt idx="7">
                  <c:v>103039354963.1698</c:v>
                </c:pt>
                <c:pt idx="8">
                  <c:v>102939325965.17001</c:v>
                </c:pt>
                <c:pt idx="9">
                  <c:v>103180536497.69008</c:v>
                </c:pt>
                <c:pt idx="10">
                  <c:v>103522653830.8398</c:v>
                </c:pt>
                <c:pt idx="11">
                  <c:v>103769420876.95023</c:v>
                </c:pt>
                <c:pt idx="12">
                  <c:v>103677340240.76912</c:v>
                </c:pt>
                <c:pt idx="13">
                  <c:v>103848774812.58028</c:v>
                </c:pt>
                <c:pt idx="14">
                  <c:v>104535624413.73996</c:v>
                </c:pt>
                <c:pt idx="15">
                  <c:v>105046858845.97961</c:v>
                </c:pt>
                <c:pt idx="16">
                  <c:v>104406736386.00983</c:v>
                </c:pt>
                <c:pt idx="17">
                  <c:v>105479455253.35008</c:v>
                </c:pt>
                <c:pt idx="18">
                  <c:v>106158569056.91969</c:v>
                </c:pt>
                <c:pt idx="19">
                  <c:v>107100232645.55028</c:v>
                </c:pt>
                <c:pt idx="20">
                  <c:v>107353857190.38972</c:v>
                </c:pt>
                <c:pt idx="21">
                  <c:v>108655538469.72955</c:v>
                </c:pt>
                <c:pt idx="22">
                  <c:v>109117224251.64981</c:v>
                </c:pt>
                <c:pt idx="23">
                  <c:v>110239948867.19019</c:v>
                </c:pt>
                <c:pt idx="24">
                  <c:v>110874070107.58974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4-417B-8E6C-D2CB33165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904496"/>
        <c:axId val="568909416"/>
      </c:barChart>
      <c:lineChart>
        <c:grouping val="standard"/>
        <c:varyColors val="0"/>
        <c:ser>
          <c:idx val="1"/>
          <c:order val="1"/>
          <c:tx>
            <c:strRef>
              <c:f>'Active Insurance'!$C$1</c:f>
              <c:strCache>
                <c:ptCount val="1"/>
                <c:pt idx="0">
                  <c:v>Insured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'Active Insurance'!$A$2:$A$26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'Active Insurance'!$C$2:$C$26</c:f>
              <c:numCache>
                <c:formatCode>#,##0</c:formatCode>
                <c:ptCount val="25"/>
                <c:pt idx="0">
                  <c:v>11637</c:v>
                </c:pt>
                <c:pt idx="1">
                  <c:v>11640</c:v>
                </c:pt>
                <c:pt idx="2">
                  <c:v>11658</c:v>
                </c:pt>
                <c:pt idx="3">
                  <c:v>11650</c:v>
                </c:pt>
                <c:pt idx="4">
                  <c:v>11681</c:v>
                </c:pt>
                <c:pt idx="5">
                  <c:v>11670</c:v>
                </c:pt>
                <c:pt idx="6">
                  <c:v>11708</c:v>
                </c:pt>
                <c:pt idx="7">
                  <c:v>11658</c:v>
                </c:pt>
                <c:pt idx="8">
                  <c:v>11614</c:v>
                </c:pt>
                <c:pt idx="9">
                  <c:v>11597</c:v>
                </c:pt>
                <c:pt idx="10">
                  <c:v>11583</c:v>
                </c:pt>
                <c:pt idx="11">
                  <c:v>11580</c:v>
                </c:pt>
                <c:pt idx="12">
                  <c:v>11533</c:v>
                </c:pt>
                <c:pt idx="13">
                  <c:v>11499</c:v>
                </c:pt>
                <c:pt idx="14">
                  <c:v>11484</c:v>
                </c:pt>
                <c:pt idx="15">
                  <c:v>11457</c:v>
                </c:pt>
                <c:pt idx="16">
                  <c:v>11398</c:v>
                </c:pt>
                <c:pt idx="17">
                  <c:v>11398</c:v>
                </c:pt>
                <c:pt idx="18">
                  <c:v>11382</c:v>
                </c:pt>
                <c:pt idx="19">
                  <c:v>11374</c:v>
                </c:pt>
                <c:pt idx="20">
                  <c:v>11296</c:v>
                </c:pt>
                <c:pt idx="21">
                  <c:v>11321</c:v>
                </c:pt>
                <c:pt idx="22">
                  <c:v>11280</c:v>
                </c:pt>
                <c:pt idx="23">
                  <c:v>11304</c:v>
                </c:pt>
                <c:pt idx="24">
                  <c:v>11271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C4-417B-8E6C-D2CB33165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1933328"/>
        <c:axId val="691933000"/>
      </c:lineChart>
      <c:catAx>
        <c:axId val="56890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9416"/>
        <c:crosses val="autoZero"/>
        <c:auto val="1"/>
        <c:lblAlgn val="ctr"/>
        <c:lblOffset val="100"/>
        <c:noMultiLvlLbl val="1"/>
      </c:catAx>
      <c:valAx>
        <c:axId val="568909416"/>
        <c:scaling>
          <c:orientation val="minMax"/>
          <c:min val="6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UPB of Insured Multifamily Mortgages ($ millions)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4496"/>
        <c:crosses val="autoZero"/>
        <c:crossBetween val="between"/>
        <c:dispUnits>
          <c:builtInUnit val="millions"/>
        </c:dispUnits>
      </c:valAx>
      <c:valAx>
        <c:axId val="69193300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Count of Insured Multifamily Mortgages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1933328"/>
        <c:crosses val="max"/>
        <c:crossBetween val="between"/>
        <c:majorUnit val="100"/>
      </c:valAx>
      <c:catAx>
        <c:axId val="691933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1933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Endorsements!$C$1</c:f>
              <c:strCache>
                <c:ptCount val="1"/>
                <c:pt idx="0">
                  <c:v>Endorsement Amount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71-4691-88A7-87A83C890CAF}"/>
              </c:ext>
            </c:extLst>
          </c:dPt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Endorsements!$C$2:$C$26</c:f>
              <c:numCache>
                <c:formatCode>General</c:formatCode>
                <c:ptCount val="25"/>
                <c:pt idx="0">
                  <c:v>999878569</c:v>
                </c:pt>
                <c:pt idx="1">
                  <c:v>1030805800</c:v>
                </c:pt>
                <c:pt idx="2">
                  <c:v>767251510</c:v>
                </c:pt>
                <c:pt idx="3">
                  <c:v>1031314685</c:v>
                </c:pt>
                <c:pt idx="4">
                  <c:v>1444533964</c:v>
                </c:pt>
                <c:pt idx="5">
                  <c:v>1570380100</c:v>
                </c:pt>
                <c:pt idx="6">
                  <c:v>1654002900</c:v>
                </c:pt>
                <c:pt idx="7">
                  <c:v>812298200</c:v>
                </c:pt>
                <c:pt idx="8">
                  <c:v>1323111600</c:v>
                </c:pt>
                <c:pt idx="9">
                  <c:v>1579388600</c:v>
                </c:pt>
                <c:pt idx="10">
                  <c:v>1582785800</c:v>
                </c:pt>
                <c:pt idx="11">
                  <c:v>1334486500</c:v>
                </c:pt>
                <c:pt idx="12">
                  <c:v>1666051007</c:v>
                </c:pt>
                <c:pt idx="13">
                  <c:v>1938563236</c:v>
                </c:pt>
                <c:pt idx="14">
                  <c:v>2067388100</c:v>
                </c:pt>
                <c:pt idx="15">
                  <c:v>2039055200</c:v>
                </c:pt>
                <c:pt idx="16">
                  <c:v>2034916300</c:v>
                </c:pt>
                <c:pt idx="17">
                  <c:v>2040301900</c:v>
                </c:pt>
                <c:pt idx="18">
                  <c:v>3598457550</c:v>
                </c:pt>
                <c:pt idx="19">
                  <c:v>2375824540</c:v>
                </c:pt>
                <c:pt idx="20">
                  <c:v>3003924900</c:v>
                </c:pt>
                <c:pt idx="21">
                  <c:v>2503054200</c:v>
                </c:pt>
                <c:pt idx="22">
                  <c:v>2508854200</c:v>
                </c:pt>
                <c:pt idx="23">
                  <c:v>2257792800</c:v>
                </c:pt>
                <c:pt idx="24">
                  <c:v>1726422761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71-4691-88A7-87A83C890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98328872"/>
        <c:axId val="698329528"/>
      </c:barChart>
      <c:lineChart>
        <c:grouping val="standard"/>
        <c:varyColors val="0"/>
        <c:ser>
          <c:idx val="0"/>
          <c:order val="0"/>
          <c:tx>
            <c:strRef>
              <c:f>Endorsements!$B$1</c:f>
              <c:strCache>
                <c:ptCount val="1"/>
                <c:pt idx="0">
                  <c:v>Endorsement Count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Endorsements!$B$2:$B$26</c:f>
              <c:numCache>
                <c:formatCode>General</c:formatCode>
                <c:ptCount val="25"/>
                <c:pt idx="0">
                  <c:v>56</c:v>
                </c:pt>
                <c:pt idx="1">
                  <c:v>72</c:v>
                </c:pt>
                <c:pt idx="2">
                  <c:v>49</c:v>
                </c:pt>
                <c:pt idx="3">
                  <c:v>52</c:v>
                </c:pt>
                <c:pt idx="4">
                  <c:v>73</c:v>
                </c:pt>
                <c:pt idx="5">
                  <c:v>66</c:v>
                </c:pt>
                <c:pt idx="6">
                  <c:v>97</c:v>
                </c:pt>
                <c:pt idx="7">
                  <c:v>43</c:v>
                </c:pt>
                <c:pt idx="8">
                  <c:v>67</c:v>
                </c:pt>
                <c:pt idx="9">
                  <c:v>80</c:v>
                </c:pt>
                <c:pt idx="10">
                  <c:v>83</c:v>
                </c:pt>
                <c:pt idx="11">
                  <c:v>83</c:v>
                </c:pt>
                <c:pt idx="12">
                  <c:v>87</c:v>
                </c:pt>
                <c:pt idx="13">
                  <c:v>106</c:v>
                </c:pt>
                <c:pt idx="14">
                  <c:v>104</c:v>
                </c:pt>
                <c:pt idx="15">
                  <c:v>107</c:v>
                </c:pt>
                <c:pt idx="16">
                  <c:v>110</c:v>
                </c:pt>
                <c:pt idx="17">
                  <c:v>107</c:v>
                </c:pt>
                <c:pt idx="18">
                  <c:v>176</c:v>
                </c:pt>
                <c:pt idx="19">
                  <c:v>124</c:v>
                </c:pt>
                <c:pt idx="20">
                  <c:v>146</c:v>
                </c:pt>
                <c:pt idx="21">
                  <c:v>125</c:v>
                </c:pt>
                <c:pt idx="22">
                  <c:v>135</c:v>
                </c:pt>
                <c:pt idx="23">
                  <c:v>118</c:v>
                </c:pt>
                <c:pt idx="24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771-4691-88A7-87A83C890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8337400"/>
        <c:axId val="698336744"/>
      </c:lineChart>
      <c:catAx>
        <c:axId val="698328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Endorsement 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8329528"/>
        <c:crosses val="autoZero"/>
        <c:auto val="1"/>
        <c:lblAlgn val="ctr"/>
        <c:lblOffset val="100"/>
        <c:noMultiLvlLbl val="0"/>
      </c:catAx>
      <c:valAx>
        <c:axId val="698329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Endorsement UPB ($ millions)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8328872"/>
        <c:crosses val="autoZero"/>
        <c:crossBetween val="between"/>
        <c:dispUnits>
          <c:builtInUnit val="millions"/>
        </c:dispUnits>
      </c:valAx>
      <c:valAx>
        <c:axId val="69833674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Endorsement 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8337400"/>
        <c:crosses val="max"/>
        <c:crossBetween val="between"/>
      </c:valAx>
      <c:catAx>
        <c:axId val="698337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8336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Endorsements!$I$1</c:f>
              <c:strCache>
                <c:ptCount val="1"/>
                <c:pt idx="0">
                  <c:v>221(d)4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Endorsements!$I$2:$I$26</c:f>
              <c:numCache>
                <c:formatCode>General</c:formatCode>
                <c:ptCount val="25"/>
                <c:pt idx="0">
                  <c:v>451815200</c:v>
                </c:pt>
                <c:pt idx="1">
                  <c:v>581190200</c:v>
                </c:pt>
                <c:pt idx="2">
                  <c:v>224569000</c:v>
                </c:pt>
                <c:pt idx="3">
                  <c:v>400038785</c:v>
                </c:pt>
                <c:pt idx="4">
                  <c:v>435992700</c:v>
                </c:pt>
                <c:pt idx="5">
                  <c:v>885680700</c:v>
                </c:pt>
                <c:pt idx="6">
                  <c:v>697101100</c:v>
                </c:pt>
                <c:pt idx="7">
                  <c:v>232088400</c:v>
                </c:pt>
                <c:pt idx="8">
                  <c:v>235405900</c:v>
                </c:pt>
                <c:pt idx="9">
                  <c:v>363511500</c:v>
                </c:pt>
                <c:pt idx="10">
                  <c:v>428344500</c:v>
                </c:pt>
                <c:pt idx="11">
                  <c:v>409990300</c:v>
                </c:pt>
                <c:pt idx="12">
                  <c:v>363102400</c:v>
                </c:pt>
                <c:pt idx="13">
                  <c:v>349643100</c:v>
                </c:pt>
                <c:pt idx="14">
                  <c:v>497178600</c:v>
                </c:pt>
                <c:pt idx="15">
                  <c:v>282962000</c:v>
                </c:pt>
                <c:pt idx="16">
                  <c:v>376151200</c:v>
                </c:pt>
                <c:pt idx="17">
                  <c:v>426004100</c:v>
                </c:pt>
                <c:pt idx="18">
                  <c:v>870415300</c:v>
                </c:pt>
                <c:pt idx="19">
                  <c:v>170627000</c:v>
                </c:pt>
                <c:pt idx="20">
                  <c:v>462641900</c:v>
                </c:pt>
                <c:pt idx="21">
                  <c:v>361690700</c:v>
                </c:pt>
                <c:pt idx="22">
                  <c:v>433963200</c:v>
                </c:pt>
                <c:pt idx="23">
                  <c:v>346857100</c:v>
                </c:pt>
                <c:pt idx="24">
                  <c:v>317218700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1C-4EAB-91FD-08BED860A420}"/>
            </c:ext>
          </c:extLst>
        </c:ser>
        <c:ser>
          <c:idx val="3"/>
          <c:order val="1"/>
          <c:tx>
            <c:strRef>
              <c:f>Endorsements!$O$1</c:f>
              <c:strCache>
                <c:ptCount val="1"/>
                <c:pt idx="0">
                  <c:v>223(f)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Endorsements!$O$2:$O$26</c:f>
              <c:numCache>
                <c:formatCode>General</c:formatCode>
                <c:ptCount val="25"/>
                <c:pt idx="0">
                  <c:v>447140400</c:v>
                </c:pt>
                <c:pt idx="1">
                  <c:v>356190600</c:v>
                </c:pt>
                <c:pt idx="2">
                  <c:v>368077310</c:v>
                </c:pt>
                <c:pt idx="3">
                  <c:v>489671500</c:v>
                </c:pt>
                <c:pt idx="4">
                  <c:v>721522700</c:v>
                </c:pt>
                <c:pt idx="5">
                  <c:v>447158500</c:v>
                </c:pt>
                <c:pt idx="6">
                  <c:v>678785100</c:v>
                </c:pt>
                <c:pt idx="7">
                  <c:v>412229600</c:v>
                </c:pt>
                <c:pt idx="8">
                  <c:v>668416300</c:v>
                </c:pt>
                <c:pt idx="9">
                  <c:v>619034100</c:v>
                </c:pt>
                <c:pt idx="10">
                  <c:v>778661500</c:v>
                </c:pt>
                <c:pt idx="11">
                  <c:v>540919700</c:v>
                </c:pt>
                <c:pt idx="12">
                  <c:v>893873400</c:v>
                </c:pt>
                <c:pt idx="13">
                  <c:v>1087799300</c:v>
                </c:pt>
                <c:pt idx="14">
                  <c:v>1038858000</c:v>
                </c:pt>
                <c:pt idx="15">
                  <c:v>974783400</c:v>
                </c:pt>
                <c:pt idx="16">
                  <c:v>668135900</c:v>
                </c:pt>
                <c:pt idx="17">
                  <c:v>859826400</c:v>
                </c:pt>
                <c:pt idx="18">
                  <c:v>1408754500</c:v>
                </c:pt>
                <c:pt idx="19">
                  <c:v>995258500</c:v>
                </c:pt>
                <c:pt idx="20">
                  <c:v>1429890800</c:v>
                </c:pt>
                <c:pt idx="21">
                  <c:v>1341534300</c:v>
                </c:pt>
                <c:pt idx="22">
                  <c:v>1238738400</c:v>
                </c:pt>
                <c:pt idx="23">
                  <c:v>1385606500</c:v>
                </c:pt>
                <c:pt idx="24">
                  <c:v>1037450300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1C-4EAB-91FD-08BED860A420}"/>
            </c:ext>
          </c:extLst>
        </c:ser>
        <c:ser>
          <c:idx val="2"/>
          <c:order val="2"/>
          <c:tx>
            <c:strRef>
              <c:f>Endorsements!$L$1</c:f>
              <c:strCache>
                <c:ptCount val="1"/>
                <c:pt idx="0">
                  <c:v>223(a)7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Endorsements!$L$2:$L$26</c:f>
              <c:numCache>
                <c:formatCode>General</c:formatCode>
                <c:ptCount val="25"/>
                <c:pt idx="0">
                  <c:v>0</c:v>
                </c:pt>
                <c:pt idx="1">
                  <c:v>2461100</c:v>
                </c:pt>
                <c:pt idx="2">
                  <c:v>0</c:v>
                </c:pt>
                <c:pt idx="3">
                  <c:v>42119400</c:v>
                </c:pt>
                <c:pt idx="4">
                  <c:v>147543200</c:v>
                </c:pt>
                <c:pt idx="5">
                  <c:v>66953600</c:v>
                </c:pt>
                <c:pt idx="6">
                  <c:v>145318700</c:v>
                </c:pt>
                <c:pt idx="7">
                  <c:v>119920100</c:v>
                </c:pt>
                <c:pt idx="8">
                  <c:v>268165700</c:v>
                </c:pt>
                <c:pt idx="9">
                  <c:v>510766000</c:v>
                </c:pt>
                <c:pt idx="10">
                  <c:v>333650300</c:v>
                </c:pt>
                <c:pt idx="11">
                  <c:v>357093000</c:v>
                </c:pt>
                <c:pt idx="12">
                  <c:v>307737600</c:v>
                </c:pt>
                <c:pt idx="13">
                  <c:v>393852600</c:v>
                </c:pt>
                <c:pt idx="14">
                  <c:v>463826500</c:v>
                </c:pt>
                <c:pt idx="15">
                  <c:v>662172800</c:v>
                </c:pt>
                <c:pt idx="16">
                  <c:v>903564200</c:v>
                </c:pt>
                <c:pt idx="17">
                  <c:v>618782900</c:v>
                </c:pt>
                <c:pt idx="18">
                  <c:v>1202967900</c:v>
                </c:pt>
                <c:pt idx="19">
                  <c:v>759299540</c:v>
                </c:pt>
                <c:pt idx="20">
                  <c:v>1105277200</c:v>
                </c:pt>
                <c:pt idx="21">
                  <c:v>762446200</c:v>
                </c:pt>
                <c:pt idx="22">
                  <c:v>687460500</c:v>
                </c:pt>
                <c:pt idx="23">
                  <c:v>477406900</c:v>
                </c:pt>
                <c:pt idx="24">
                  <c:v>205422600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1C-4EAB-91FD-08BED860A420}"/>
            </c:ext>
          </c:extLst>
        </c:ser>
        <c:ser>
          <c:idx val="4"/>
          <c:order val="3"/>
          <c:tx>
            <c:strRef>
              <c:f>Endorsements!$R$1</c:f>
              <c:strCache>
                <c:ptCount val="1"/>
                <c:pt idx="0">
                  <c:v>542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Endorsements!$R$2:$R$26</c:f>
              <c:numCache>
                <c:formatCode>General</c:formatCode>
                <c:ptCount val="25"/>
                <c:pt idx="0">
                  <c:v>100922969</c:v>
                </c:pt>
                <c:pt idx="1">
                  <c:v>25862000</c:v>
                </c:pt>
                <c:pt idx="2">
                  <c:v>55780000</c:v>
                </c:pt>
                <c:pt idx="3">
                  <c:v>99485000</c:v>
                </c:pt>
                <c:pt idx="4">
                  <c:v>129475364</c:v>
                </c:pt>
                <c:pt idx="5">
                  <c:v>93411000</c:v>
                </c:pt>
                <c:pt idx="6">
                  <c:v>132798000</c:v>
                </c:pt>
                <c:pt idx="7">
                  <c:v>14600000</c:v>
                </c:pt>
                <c:pt idx="8">
                  <c:v>133014000</c:v>
                </c:pt>
                <c:pt idx="9">
                  <c:v>86077000</c:v>
                </c:pt>
                <c:pt idx="10">
                  <c:v>5750000</c:v>
                </c:pt>
                <c:pt idx="11">
                  <c:v>13464000</c:v>
                </c:pt>
                <c:pt idx="12">
                  <c:v>101337607</c:v>
                </c:pt>
                <c:pt idx="13">
                  <c:v>107268236</c:v>
                </c:pt>
                <c:pt idx="14">
                  <c:v>67525000</c:v>
                </c:pt>
                <c:pt idx="15">
                  <c:v>119137000</c:v>
                </c:pt>
                <c:pt idx="16">
                  <c:v>85265000</c:v>
                </c:pt>
                <c:pt idx="17">
                  <c:v>74644000</c:v>
                </c:pt>
                <c:pt idx="18">
                  <c:v>116319850</c:v>
                </c:pt>
                <c:pt idx="19">
                  <c:v>378129500</c:v>
                </c:pt>
                <c:pt idx="20">
                  <c:v>6115000</c:v>
                </c:pt>
                <c:pt idx="21">
                  <c:v>37383000</c:v>
                </c:pt>
                <c:pt idx="22">
                  <c:v>16900000</c:v>
                </c:pt>
                <c:pt idx="23">
                  <c:v>30011000</c:v>
                </c:pt>
                <c:pt idx="24">
                  <c:v>106620361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1C-4EAB-91FD-08BED860A420}"/>
            </c:ext>
          </c:extLst>
        </c:ser>
        <c:ser>
          <c:idx val="0"/>
          <c:order val="4"/>
          <c:tx>
            <c:strRef>
              <c:f>Endorsements!$F$1</c:f>
              <c:strCache>
                <c:ptCount val="1"/>
                <c:pt idx="0">
                  <c:v>221(d)3/223(d)/241(a)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Endorsements!$F$2:$F$26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51940400</c:v>
                </c:pt>
                <c:pt idx="3">
                  <c:v>0</c:v>
                </c:pt>
                <c:pt idx="4">
                  <c:v>10000000</c:v>
                </c:pt>
                <c:pt idx="5">
                  <c:v>2624200</c:v>
                </c:pt>
                <c:pt idx="6">
                  <c:v>0</c:v>
                </c:pt>
                <c:pt idx="7">
                  <c:v>10460100</c:v>
                </c:pt>
                <c:pt idx="8">
                  <c:v>18109700</c:v>
                </c:pt>
                <c:pt idx="9">
                  <c:v>0</c:v>
                </c:pt>
                <c:pt idx="10">
                  <c:v>0</c:v>
                </c:pt>
                <c:pt idx="11">
                  <c:v>13019500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1800000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8798200</c:v>
                </c:pt>
                <c:pt idx="23">
                  <c:v>17911300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1C-4EAB-91FD-08BED860A420}"/>
            </c:ext>
          </c:extLst>
        </c:ser>
        <c:ser>
          <c:idx val="5"/>
          <c:order val="5"/>
          <c:tx>
            <c:strRef>
              <c:f>Endorsements!$U$1</c:f>
              <c:strCache>
                <c:ptCount val="1"/>
                <c:pt idx="0">
                  <c:v>Other Rental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Endorsements!$A$2:$A$26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Endorsements!$U$2:$U$26</c:f>
              <c:numCache>
                <c:formatCode>General</c:formatCode>
                <c:ptCount val="25"/>
                <c:pt idx="0">
                  <c:v>0</c:v>
                </c:pt>
                <c:pt idx="1">
                  <c:v>65101900</c:v>
                </c:pt>
                <c:pt idx="2">
                  <c:v>66884800</c:v>
                </c:pt>
                <c:pt idx="3">
                  <c:v>0</c:v>
                </c:pt>
                <c:pt idx="4">
                  <c:v>0</c:v>
                </c:pt>
                <c:pt idx="5">
                  <c:v>74552100</c:v>
                </c:pt>
                <c:pt idx="6">
                  <c:v>0</c:v>
                </c:pt>
                <c:pt idx="7">
                  <c:v>23000000</c:v>
                </c:pt>
                <c:pt idx="8">
                  <c:v>0</c:v>
                </c:pt>
                <c:pt idx="9">
                  <c:v>0</c:v>
                </c:pt>
                <c:pt idx="10">
                  <c:v>36379500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61044500</c:v>
                </c:pt>
                <c:pt idx="18">
                  <c:v>0</c:v>
                </c:pt>
                <c:pt idx="19">
                  <c:v>72510000</c:v>
                </c:pt>
                <c:pt idx="20">
                  <c:v>0</c:v>
                </c:pt>
                <c:pt idx="21">
                  <c:v>0</c:v>
                </c:pt>
                <c:pt idx="22">
                  <c:v>122993900</c:v>
                </c:pt>
                <c:pt idx="23">
                  <c:v>0</c:v>
                </c:pt>
                <c:pt idx="24">
                  <c:v>59710800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71C-4EAB-91FD-08BED860A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7174016"/>
        <c:axId val="697174672"/>
      </c:barChart>
      <c:catAx>
        <c:axId val="697174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Endorsement Month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7174672"/>
        <c:crosses val="autoZero"/>
        <c:auto val="1"/>
        <c:lblAlgn val="ctr"/>
        <c:lblOffset val="100"/>
        <c:noMultiLvlLbl val="0"/>
      </c:catAx>
      <c:valAx>
        <c:axId val="6971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Endorsement UPB ($ millions)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7174016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Default!$B$1</c:f>
              <c:strCache>
                <c:ptCount val="1"/>
                <c:pt idx="0">
                  <c:v>Default UPB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Default!$B$2:$B$26</c:f>
              <c:numCache>
                <c:formatCode>#,##0</c:formatCode>
                <c:ptCount val="25"/>
                <c:pt idx="0">
                  <c:v>99318489.199999988</c:v>
                </c:pt>
                <c:pt idx="1">
                  <c:v>38780469.030000001</c:v>
                </c:pt>
                <c:pt idx="2">
                  <c:v>57144341.560000002</c:v>
                </c:pt>
                <c:pt idx="3">
                  <c:v>90204955.289999992</c:v>
                </c:pt>
                <c:pt idx="4">
                  <c:v>41129638.93</c:v>
                </c:pt>
                <c:pt idx="5">
                  <c:v>35087424.989999995</c:v>
                </c:pt>
                <c:pt idx="6">
                  <c:v>73970834.290000007</c:v>
                </c:pt>
                <c:pt idx="7">
                  <c:v>63258616.670000002</c:v>
                </c:pt>
                <c:pt idx="8">
                  <c:v>59861225.520000003</c:v>
                </c:pt>
                <c:pt idx="9">
                  <c:v>69327504.899999976</c:v>
                </c:pt>
                <c:pt idx="10">
                  <c:v>207453210.16000003</c:v>
                </c:pt>
                <c:pt idx="11">
                  <c:v>334561542.09999996</c:v>
                </c:pt>
                <c:pt idx="12">
                  <c:v>618721288.72999978</c:v>
                </c:pt>
                <c:pt idx="13">
                  <c:v>703470148.27000022</c:v>
                </c:pt>
                <c:pt idx="14">
                  <c:v>946344827.06999981</c:v>
                </c:pt>
                <c:pt idx="15">
                  <c:v>1067515521.1299998</c:v>
                </c:pt>
                <c:pt idx="16">
                  <c:v>1142857368.1000004</c:v>
                </c:pt>
                <c:pt idx="17">
                  <c:v>1105257021.6299999</c:v>
                </c:pt>
                <c:pt idx="18">
                  <c:v>992663639.40999961</c:v>
                </c:pt>
                <c:pt idx="19">
                  <c:v>960532580.31000042</c:v>
                </c:pt>
                <c:pt idx="20">
                  <c:v>918772045.45999992</c:v>
                </c:pt>
                <c:pt idx="21">
                  <c:v>862979593.37</c:v>
                </c:pt>
                <c:pt idx="22">
                  <c:v>731004202.33999979</c:v>
                </c:pt>
                <c:pt idx="23">
                  <c:v>642069767.10000026</c:v>
                </c:pt>
                <c:pt idx="24">
                  <c:v>588712399.49000001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47-4E3E-B1EC-F634B883DE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2352248"/>
        <c:axId val="692356184"/>
      </c:barChart>
      <c:lineChart>
        <c:grouping val="standard"/>
        <c:varyColors val="0"/>
        <c:ser>
          <c:idx val="1"/>
          <c:order val="1"/>
          <c:tx>
            <c:strRef>
              <c:f>Default!$E$1</c:f>
              <c:strCache>
                <c:ptCount val="1"/>
                <c:pt idx="0">
                  <c:v>Default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Default!$E$2:$E$26</c:f>
              <c:numCache>
                <c:formatCode>General</c:formatCode>
                <c:ptCount val="25"/>
                <c:pt idx="0">
                  <c:v>9</c:v>
                </c:pt>
                <c:pt idx="1">
                  <c:v>11</c:v>
                </c:pt>
                <c:pt idx="2">
                  <c:v>11</c:v>
                </c:pt>
                <c:pt idx="3">
                  <c:v>13</c:v>
                </c:pt>
                <c:pt idx="4">
                  <c:v>8</c:v>
                </c:pt>
                <c:pt idx="5">
                  <c:v>6</c:v>
                </c:pt>
                <c:pt idx="6">
                  <c:v>8</c:v>
                </c:pt>
                <c:pt idx="7">
                  <c:v>7</c:v>
                </c:pt>
                <c:pt idx="8">
                  <c:v>6</c:v>
                </c:pt>
                <c:pt idx="9">
                  <c:v>9</c:v>
                </c:pt>
                <c:pt idx="10">
                  <c:v>18</c:v>
                </c:pt>
                <c:pt idx="11">
                  <c:v>32</c:v>
                </c:pt>
                <c:pt idx="12">
                  <c:v>39</c:v>
                </c:pt>
                <c:pt idx="13">
                  <c:v>47</c:v>
                </c:pt>
                <c:pt idx="14">
                  <c:v>56</c:v>
                </c:pt>
                <c:pt idx="15">
                  <c:v>60</c:v>
                </c:pt>
                <c:pt idx="16">
                  <c:v>62</c:v>
                </c:pt>
                <c:pt idx="17">
                  <c:v>66</c:v>
                </c:pt>
                <c:pt idx="18">
                  <c:v>63</c:v>
                </c:pt>
                <c:pt idx="19">
                  <c:v>58</c:v>
                </c:pt>
                <c:pt idx="20">
                  <c:v>51</c:v>
                </c:pt>
                <c:pt idx="21">
                  <c:v>51</c:v>
                </c:pt>
                <c:pt idx="22">
                  <c:v>44</c:v>
                </c:pt>
                <c:pt idx="23">
                  <c:v>41</c:v>
                </c:pt>
                <c:pt idx="24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47-4E3E-B1EC-F634B883DE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362744"/>
        <c:axId val="692361432"/>
      </c:lineChart>
      <c:catAx>
        <c:axId val="69235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6184"/>
        <c:crosses val="autoZero"/>
        <c:auto val="1"/>
        <c:lblAlgn val="ctr"/>
        <c:lblOffset val="100"/>
        <c:noMultiLvlLbl val="0"/>
      </c:catAx>
      <c:valAx>
        <c:axId val="69235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UPB ($ millions)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2248"/>
        <c:crosses val="autoZero"/>
        <c:crossBetween val="between"/>
        <c:dispUnits>
          <c:builtInUnit val="millions"/>
        </c:dispUnits>
      </c:valAx>
      <c:valAx>
        <c:axId val="69236143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62744"/>
        <c:crosses val="max"/>
        <c:crossBetween val="between"/>
      </c:valAx>
      <c:catAx>
        <c:axId val="692362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2361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'Active Insurance'!$B$1</c:f>
              <c:strCache>
                <c:ptCount val="1"/>
                <c:pt idx="0">
                  <c:v>Insurance-in-Force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'Active Insurance'!$A$2:$A$27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'Active Insurance'!$B$2:$B$27</c:f>
              <c:numCache>
                <c:formatCode>#,##0</c:formatCode>
                <c:ptCount val="26"/>
                <c:pt idx="0">
                  <c:v>30108776542.009998</c:v>
                </c:pt>
                <c:pt idx="1">
                  <c:v>30380680674.450001</c:v>
                </c:pt>
                <c:pt idx="2">
                  <c:v>30518749948.519997</c:v>
                </c:pt>
                <c:pt idx="3">
                  <c:v>30973504446.009968</c:v>
                </c:pt>
                <c:pt idx="4">
                  <c:v>31341935938.470089</c:v>
                </c:pt>
                <c:pt idx="5">
                  <c:v>31535666905.349983</c:v>
                </c:pt>
                <c:pt idx="6">
                  <c:v>31713491704.820011</c:v>
                </c:pt>
                <c:pt idx="7">
                  <c:v>32174039424.979992</c:v>
                </c:pt>
                <c:pt idx="8">
                  <c:v>32217431103.690102</c:v>
                </c:pt>
                <c:pt idx="9">
                  <c:v>32172429996.41996</c:v>
                </c:pt>
                <c:pt idx="10">
                  <c:v>32333140180.700039</c:v>
                </c:pt>
                <c:pt idx="11">
                  <c:v>32494067997.420013</c:v>
                </c:pt>
                <c:pt idx="12">
                  <c:v>32665032339.899925</c:v>
                </c:pt>
                <c:pt idx="13">
                  <c:v>32831219517.730022</c:v>
                </c:pt>
                <c:pt idx="14">
                  <c:v>32851453636.990055</c:v>
                </c:pt>
                <c:pt idx="15">
                  <c:v>32950290954.230042</c:v>
                </c:pt>
                <c:pt idx="16">
                  <c:v>33056461490.429974</c:v>
                </c:pt>
                <c:pt idx="17">
                  <c:v>32835034102.439999</c:v>
                </c:pt>
                <c:pt idx="18">
                  <c:v>32895397388.359997</c:v>
                </c:pt>
                <c:pt idx="19">
                  <c:v>32921799047.109905</c:v>
                </c:pt>
                <c:pt idx="20">
                  <c:v>32983741381.130009</c:v>
                </c:pt>
                <c:pt idx="21">
                  <c:v>32951695146.050056</c:v>
                </c:pt>
                <c:pt idx="22">
                  <c:v>32911262086.629948</c:v>
                </c:pt>
                <c:pt idx="23">
                  <c:v>33000439755.570057</c:v>
                </c:pt>
                <c:pt idx="24">
                  <c:v>32897251709.029964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A-4C2C-BD6D-78F8BC9FE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904496"/>
        <c:axId val="568909416"/>
      </c:barChart>
      <c:lineChart>
        <c:grouping val="standard"/>
        <c:varyColors val="0"/>
        <c:ser>
          <c:idx val="1"/>
          <c:order val="1"/>
          <c:tx>
            <c:strRef>
              <c:f>'Active Insurance'!$C$1</c:f>
              <c:strCache>
                <c:ptCount val="1"/>
                <c:pt idx="0">
                  <c:v>Insured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'Active Insurance'!#REF!</c:f>
            </c:multiLvlStrRef>
          </c:cat>
          <c:val>
            <c:numRef>
              <c:f>'Active Insurance'!$C$2:$C$27</c:f>
              <c:numCache>
                <c:formatCode>#,##0</c:formatCode>
                <c:ptCount val="26"/>
                <c:pt idx="0">
                  <c:v>3709</c:v>
                </c:pt>
                <c:pt idx="1">
                  <c:v>3721</c:v>
                </c:pt>
                <c:pt idx="2">
                  <c:v>3738</c:v>
                </c:pt>
                <c:pt idx="3">
                  <c:v>3771</c:v>
                </c:pt>
                <c:pt idx="4">
                  <c:v>3797</c:v>
                </c:pt>
                <c:pt idx="5">
                  <c:v>3803</c:v>
                </c:pt>
                <c:pt idx="6">
                  <c:v>3806</c:v>
                </c:pt>
                <c:pt idx="7">
                  <c:v>3825</c:v>
                </c:pt>
                <c:pt idx="8">
                  <c:v>3819</c:v>
                </c:pt>
                <c:pt idx="9">
                  <c:v>3816</c:v>
                </c:pt>
                <c:pt idx="10">
                  <c:v>3834</c:v>
                </c:pt>
                <c:pt idx="11">
                  <c:v>3847</c:v>
                </c:pt>
                <c:pt idx="12">
                  <c:v>3857</c:v>
                </c:pt>
                <c:pt idx="13">
                  <c:v>3864</c:v>
                </c:pt>
                <c:pt idx="14">
                  <c:v>3869</c:v>
                </c:pt>
                <c:pt idx="15">
                  <c:v>3877</c:v>
                </c:pt>
                <c:pt idx="16">
                  <c:v>3884</c:v>
                </c:pt>
                <c:pt idx="17">
                  <c:v>3857</c:v>
                </c:pt>
                <c:pt idx="18">
                  <c:v>3866</c:v>
                </c:pt>
                <c:pt idx="19">
                  <c:v>3871</c:v>
                </c:pt>
                <c:pt idx="20">
                  <c:v>3871</c:v>
                </c:pt>
                <c:pt idx="21">
                  <c:v>3859</c:v>
                </c:pt>
                <c:pt idx="22">
                  <c:v>3844</c:v>
                </c:pt>
                <c:pt idx="23">
                  <c:v>3851</c:v>
                </c:pt>
                <c:pt idx="24">
                  <c:v>3825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6A-4C2C-BD6D-78F8BC9FE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1933328"/>
        <c:axId val="691933000"/>
      </c:lineChart>
      <c:catAx>
        <c:axId val="56890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9416"/>
        <c:crosses val="autoZero"/>
        <c:auto val="1"/>
        <c:lblAlgn val="ctr"/>
        <c:lblOffset val="100"/>
        <c:noMultiLvlLbl val="1"/>
      </c:catAx>
      <c:valAx>
        <c:axId val="568909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UPB of Insured Residential Care Facilities Mortgages ($ millions)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4496"/>
        <c:crosses val="autoZero"/>
        <c:crossBetween val="between"/>
        <c:dispUnits>
          <c:builtInUnit val="millions"/>
        </c:dispUnits>
      </c:valAx>
      <c:valAx>
        <c:axId val="69193300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Count of Insured Residential Care Facilities Mortgages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1933328"/>
        <c:crosses val="max"/>
        <c:crossBetween val="between"/>
      </c:valAx>
      <c:catAx>
        <c:axId val="691933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1933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Default!$B$1</c:f>
              <c:strCache>
                <c:ptCount val="1"/>
                <c:pt idx="0">
                  <c:v>Default UPB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Default!$B$2:$B$26</c:f>
              <c:numCache>
                <c:formatCode>#,##0</c:formatCode>
                <c:ptCount val="25"/>
                <c:pt idx="0">
                  <c:v>512779009.70999998</c:v>
                </c:pt>
                <c:pt idx="1">
                  <c:v>495278947.5200001</c:v>
                </c:pt>
                <c:pt idx="2">
                  <c:v>557826487.1500001</c:v>
                </c:pt>
                <c:pt idx="3">
                  <c:v>519015207.18000025</c:v>
                </c:pt>
                <c:pt idx="4">
                  <c:v>552653737.15999997</c:v>
                </c:pt>
                <c:pt idx="5">
                  <c:v>574934555.1500001</c:v>
                </c:pt>
                <c:pt idx="6">
                  <c:v>646980569.33000016</c:v>
                </c:pt>
                <c:pt idx="7">
                  <c:v>572963278.67000008</c:v>
                </c:pt>
                <c:pt idx="8">
                  <c:v>574815530.03999996</c:v>
                </c:pt>
                <c:pt idx="9">
                  <c:v>602655264.05999994</c:v>
                </c:pt>
                <c:pt idx="10">
                  <c:v>611098881.21999955</c:v>
                </c:pt>
                <c:pt idx="11">
                  <c:v>692718509.0400002</c:v>
                </c:pt>
                <c:pt idx="12">
                  <c:v>654326429.25999999</c:v>
                </c:pt>
                <c:pt idx="13">
                  <c:v>655989091.59999979</c:v>
                </c:pt>
                <c:pt idx="14">
                  <c:v>628358379.13000023</c:v>
                </c:pt>
                <c:pt idx="15">
                  <c:v>622928837.90999997</c:v>
                </c:pt>
                <c:pt idx="16">
                  <c:v>637463992.34000039</c:v>
                </c:pt>
                <c:pt idx="17">
                  <c:v>714204495.96000016</c:v>
                </c:pt>
                <c:pt idx="18">
                  <c:v>575006354.85000014</c:v>
                </c:pt>
                <c:pt idx="19">
                  <c:v>576041955.6500001</c:v>
                </c:pt>
                <c:pt idx="20">
                  <c:v>572585623.06000018</c:v>
                </c:pt>
                <c:pt idx="21">
                  <c:v>557252787.57000005</c:v>
                </c:pt>
                <c:pt idx="22">
                  <c:v>584748700.13999999</c:v>
                </c:pt>
                <c:pt idx="23">
                  <c:v>595052652.91999984</c:v>
                </c:pt>
                <c:pt idx="24">
                  <c:v>584151411.84000015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EF-4E1E-8945-601BF27D0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2352248"/>
        <c:axId val="692356184"/>
      </c:barChart>
      <c:lineChart>
        <c:grouping val="standard"/>
        <c:varyColors val="0"/>
        <c:ser>
          <c:idx val="1"/>
          <c:order val="1"/>
          <c:tx>
            <c:strRef>
              <c:f>Default!$E$1</c:f>
              <c:strCache>
                <c:ptCount val="1"/>
                <c:pt idx="0">
                  <c:v>Default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Default!$E$2:$E$26</c:f>
              <c:numCache>
                <c:formatCode>General</c:formatCode>
                <c:ptCount val="25"/>
                <c:pt idx="0">
                  <c:v>63</c:v>
                </c:pt>
                <c:pt idx="1">
                  <c:v>62</c:v>
                </c:pt>
                <c:pt idx="2">
                  <c:v>67</c:v>
                </c:pt>
                <c:pt idx="3">
                  <c:v>63</c:v>
                </c:pt>
                <c:pt idx="4">
                  <c:v>69</c:v>
                </c:pt>
                <c:pt idx="5">
                  <c:v>73</c:v>
                </c:pt>
                <c:pt idx="6">
                  <c:v>81</c:v>
                </c:pt>
                <c:pt idx="7">
                  <c:v>74</c:v>
                </c:pt>
                <c:pt idx="8">
                  <c:v>74</c:v>
                </c:pt>
                <c:pt idx="9">
                  <c:v>79</c:v>
                </c:pt>
                <c:pt idx="10">
                  <c:v>81</c:v>
                </c:pt>
                <c:pt idx="11">
                  <c:v>85</c:v>
                </c:pt>
                <c:pt idx="12">
                  <c:v>80</c:v>
                </c:pt>
                <c:pt idx="13">
                  <c:v>80</c:v>
                </c:pt>
                <c:pt idx="14">
                  <c:v>77</c:v>
                </c:pt>
                <c:pt idx="15">
                  <c:v>75</c:v>
                </c:pt>
                <c:pt idx="16">
                  <c:v>75</c:v>
                </c:pt>
                <c:pt idx="17">
                  <c:v>79</c:v>
                </c:pt>
                <c:pt idx="18">
                  <c:v>67</c:v>
                </c:pt>
                <c:pt idx="19">
                  <c:v>65</c:v>
                </c:pt>
                <c:pt idx="20">
                  <c:v>66</c:v>
                </c:pt>
                <c:pt idx="21">
                  <c:v>65</c:v>
                </c:pt>
                <c:pt idx="22">
                  <c:v>68</c:v>
                </c:pt>
                <c:pt idx="23">
                  <c:v>73</c:v>
                </c:pt>
                <c:pt idx="24">
                  <c:v>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EF-4E1E-8945-601BF27D0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362744"/>
        <c:axId val="692361432"/>
      </c:lineChart>
      <c:catAx>
        <c:axId val="69235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6184"/>
        <c:crosses val="autoZero"/>
        <c:auto val="1"/>
        <c:lblAlgn val="ctr"/>
        <c:lblOffset val="100"/>
        <c:noMultiLvlLbl val="0"/>
      </c:catAx>
      <c:valAx>
        <c:axId val="69235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UPB ($ millions)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2248"/>
        <c:crosses val="autoZero"/>
        <c:crossBetween val="between"/>
        <c:dispUnits>
          <c:builtInUnit val="millions"/>
        </c:dispUnits>
      </c:valAx>
      <c:valAx>
        <c:axId val="69236143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62744"/>
        <c:crosses val="max"/>
        <c:crossBetween val="between"/>
      </c:valAx>
      <c:catAx>
        <c:axId val="692362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2361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'Active Insurance'!$B$1</c:f>
              <c:strCache>
                <c:ptCount val="1"/>
                <c:pt idx="0">
                  <c:v>Insurance-in-Force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'Active Insurance'!$A$2:$A$26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'Active Insurance'!$B$2:$B$26</c:f>
              <c:numCache>
                <c:formatCode>#,##0</c:formatCode>
                <c:ptCount val="25"/>
                <c:pt idx="0">
                  <c:v>6086349515.5999985</c:v>
                </c:pt>
                <c:pt idx="1">
                  <c:v>6065672299.6600018</c:v>
                </c:pt>
                <c:pt idx="2">
                  <c:v>6020656643.5</c:v>
                </c:pt>
                <c:pt idx="3">
                  <c:v>5999935186.3499994</c:v>
                </c:pt>
                <c:pt idx="4">
                  <c:v>5978976871.7999992</c:v>
                </c:pt>
                <c:pt idx="5">
                  <c:v>5958099583.2400026</c:v>
                </c:pt>
                <c:pt idx="6">
                  <c:v>5937148354.1500025</c:v>
                </c:pt>
                <c:pt idx="7">
                  <c:v>5916122903.0600014</c:v>
                </c:pt>
                <c:pt idx="8">
                  <c:v>6027809270.29</c:v>
                </c:pt>
                <c:pt idx="9">
                  <c:v>6006333963.8399992</c:v>
                </c:pt>
                <c:pt idx="10">
                  <c:v>5983352878.4200001</c:v>
                </c:pt>
                <c:pt idx="11">
                  <c:v>5961912912.79</c:v>
                </c:pt>
                <c:pt idx="12">
                  <c:v>5938636123.4099998</c:v>
                </c:pt>
                <c:pt idx="13">
                  <c:v>5917034247.0900002</c:v>
                </c:pt>
                <c:pt idx="14">
                  <c:v>5885189714.3799992</c:v>
                </c:pt>
                <c:pt idx="15">
                  <c:v>5853158462.04</c:v>
                </c:pt>
                <c:pt idx="16">
                  <c:v>5830365173.4399996</c:v>
                </c:pt>
                <c:pt idx="17">
                  <c:v>6228909772.7900009</c:v>
                </c:pt>
                <c:pt idx="18">
                  <c:v>6022730687.7299986</c:v>
                </c:pt>
                <c:pt idx="19">
                  <c:v>6437080328.0799932</c:v>
                </c:pt>
                <c:pt idx="20">
                  <c:v>6364481083.3100014</c:v>
                </c:pt>
                <c:pt idx="21">
                  <c:v>6072866979.2400007</c:v>
                </c:pt>
                <c:pt idx="22">
                  <c:v>6028844337.3300028</c:v>
                </c:pt>
                <c:pt idx="23">
                  <c:v>6007115439.1199989</c:v>
                </c:pt>
                <c:pt idx="24">
                  <c:v>6304618012.9399958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B-468F-896A-5B9314537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904496"/>
        <c:axId val="568909416"/>
      </c:barChart>
      <c:lineChart>
        <c:grouping val="standard"/>
        <c:varyColors val="0"/>
        <c:ser>
          <c:idx val="1"/>
          <c:order val="1"/>
          <c:tx>
            <c:strRef>
              <c:f>'Active Insurance'!$C$1</c:f>
              <c:strCache>
                <c:ptCount val="1"/>
                <c:pt idx="0">
                  <c:v>Insured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'Active Insurance'!#REF!</c:f>
            </c:multiLvlStrRef>
          </c:cat>
          <c:val>
            <c:numRef>
              <c:f>'Active Insurance'!$C$2:$C$26</c:f>
              <c:numCache>
                <c:formatCode>#,##0</c:formatCode>
                <c:ptCount val="25"/>
                <c:pt idx="0">
                  <c:v>91</c:v>
                </c:pt>
                <c:pt idx="1">
                  <c:v>91</c:v>
                </c:pt>
                <c:pt idx="2">
                  <c:v>90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91</c:v>
                </c:pt>
                <c:pt idx="9">
                  <c:v>91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90</c:v>
                </c:pt>
                <c:pt idx="14">
                  <c:v>90</c:v>
                </c:pt>
                <c:pt idx="15">
                  <c:v>90</c:v>
                </c:pt>
                <c:pt idx="16">
                  <c:v>90</c:v>
                </c:pt>
                <c:pt idx="17">
                  <c:v>93</c:v>
                </c:pt>
                <c:pt idx="18">
                  <c:v>92</c:v>
                </c:pt>
                <c:pt idx="19">
                  <c:v>91</c:v>
                </c:pt>
                <c:pt idx="20">
                  <c:v>89</c:v>
                </c:pt>
                <c:pt idx="21">
                  <c:v>88</c:v>
                </c:pt>
                <c:pt idx="22">
                  <c:v>89</c:v>
                </c:pt>
                <c:pt idx="23">
                  <c:v>89</c:v>
                </c:pt>
                <c:pt idx="24">
                  <c:v>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8B-468F-896A-5B9314537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1933328"/>
        <c:axId val="691933000"/>
      </c:lineChart>
      <c:catAx>
        <c:axId val="56890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9416"/>
        <c:crosses val="autoZero"/>
        <c:auto val="1"/>
        <c:lblAlgn val="ctr"/>
        <c:lblOffset val="100"/>
        <c:noMultiLvlLbl val="1"/>
      </c:catAx>
      <c:valAx>
        <c:axId val="568909416"/>
        <c:scaling>
          <c:orientation val="minMax"/>
          <c:min val="5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UPB of Insured Hospital Mortgages ($ millions)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68904496"/>
        <c:crosses val="autoZero"/>
        <c:crossBetween val="between"/>
        <c:dispUnits>
          <c:builtInUnit val="millions"/>
        </c:dispUnits>
      </c:valAx>
      <c:valAx>
        <c:axId val="691933000"/>
        <c:scaling>
          <c:orientation val="minMax"/>
          <c:min val="8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baseline="0">
                    <a:effectLst/>
                  </a:rPr>
                  <a:t>Count of Insured Hospital Mortgages</a:t>
                </a:r>
                <a:endParaRPr lang="en-US" sz="9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1933328"/>
        <c:crosses val="max"/>
        <c:crossBetween val="between"/>
        <c:minorUnit val="0.5"/>
      </c:valAx>
      <c:catAx>
        <c:axId val="691933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1933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Default!$B$1</c:f>
              <c:strCache>
                <c:ptCount val="1"/>
                <c:pt idx="0">
                  <c:v>Default UPB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Default!$B$2:$B$26</c:f>
              <c:numCache>
                <c:formatCode>#,##0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102622134.31</c:v>
                </c:pt>
                <c:pt idx="20">
                  <c:v>102221276.06999999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F-42FC-B734-2F300EFA4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2352248"/>
        <c:axId val="692356184"/>
      </c:barChart>
      <c:lineChart>
        <c:grouping val="standard"/>
        <c:varyColors val="0"/>
        <c:ser>
          <c:idx val="1"/>
          <c:order val="1"/>
          <c:tx>
            <c:strRef>
              <c:f>Default!$E$1</c:f>
              <c:strCache>
                <c:ptCount val="1"/>
                <c:pt idx="0">
                  <c:v>Default Count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Default!$A$2:$A$26</c:f>
              <c:strCache>
                <c:ptCount val="25"/>
                <c:pt idx="0">
                  <c:v>2019-06</c:v>
                </c:pt>
                <c:pt idx="1">
                  <c:v>2019-07</c:v>
                </c:pt>
                <c:pt idx="2">
                  <c:v>2019-08</c:v>
                </c:pt>
                <c:pt idx="3">
                  <c:v>2019-09</c:v>
                </c:pt>
                <c:pt idx="4">
                  <c:v>2019-10</c:v>
                </c:pt>
                <c:pt idx="5">
                  <c:v>2019-11</c:v>
                </c:pt>
                <c:pt idx="6">
                  <c:v>2019-12</c:v>
                </c:pt>
                <c:pt idx="7">
                  <c:v>2020-01</c:v>
                </c:pt>
                <c:pt idx="8">
                  <c:v>2020-02</c:v>
                </c:pt>
                <c:pt idx="9">
                  <c:v>2020-03</c:v>
                </c:pt>
                <c:pt idx="10">
                  <c:v>2020-04</c:v>
                </c:pt>
                <c:pt idx="11">
                  <c:v>2020-05</c:v>
                </c:pt>
                <c:pt idx="12">
                  <c:v>2020-06</c:v>
                </c:pt>
                <c:pt idx="13">
                  <c:v>2020-07</c:v>
                </c:pt>
                <c:pt idx="14">
                  <c:v>2020-08</c:v>
                </c:pt>
                <c:pt idx="15">
                  <c:v>2020-09</c:v>
                </c:pt>
                <c:pt idx="16">
                  <c:v>2020-10</c:v>
                </c:pt>
                <c:pt idx="17">
                  <c:v>2020-11</c:v>
                </c:pt>
                <c:pt idx="18">
                  <c:v>2020-12</c:v>
                </c:pt>
                <c:pt idx="19">
                  <c:v>2021-01</c:v>
                </c:pt>
                <c:pt idx="20">
                  <c:v>2021-02</c:v>
                </c:pt>
                <c:pt idx="21">
                  <c:v>2021-03</c:v>
                </c:pt>
                <c:pt idx="22">
                  <c:v>2021-04</c:v>
                </c:pt>
                <c:pt idx="23">
                  <c:v>2021-05</c:v>
                </c:pt>
                <c:pt idx="24">
                  <c:v>2021-06</c:v>
                </c:pt>
              </c:strCache>
            </c:strRef>
          </c:cat>
          <c:val>
            <c:numRef>
              <c:f>Default!$E$2:$E$26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5F-42FC-B734-2F300EFA4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362744"/>
        <c:axId val="692361432"/>
      </c:lineChart>
      <c:catAx>
        <c:axId val="69235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6184"/>
        <c:crosses val="autoZero"/>
        <c:auto val="1"/>
        <c:lblAlgn val="ctr"/>
        <c:lblOffset val="100"/>
        <c:noMultiLvlLbl val="0"/>
      </c:catAx>
      <c:valAx>
        <c:axId val="69235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UPB ($ millions)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52248"/>
        <c:crosses val="autoZero"/>
        <c:crossBetween val="between"/>
        <c:dispUnits>
          <c:builtInUnit val="millions"/>
        </c:dispUnits>
      </c:valAx>
      <c:valAx>
        <c:axId val="69236143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Count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92362744"/>
        <c:crosses val="max"/>
        <c:crossBetween val="between"/>
        <c:majorUnit val="1"/>
      </c:valAx>
      <c:catAx>
        <c:axId val="692362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23614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A06B3699AC4E8EF9FC47F779AFC9" ma:contentTypeVersion="12" ma:contentTypeDescription="Create a new document." ma:contentTypeScope="" ma:versionID="11d78b0992987c08d88a422645287d82">
  <xsd:schema xmlns:xsd="http://www.w3.org/2001/XMLSchema" xmlns:xs="http://www.w3.org/2001/XMLSchema" xmlns:p="http://schemas.microsoft.com/office/2006/metadata/properties" xmlns:ns1="http://schemas.microsoft.com/sharepoint/v3" xmlns:ns3="f84673fe-03a5-4278-80b4-b84a975211bc" xmlns:ns4="769b5e5b-27c5-4827-9660-9ea4a2da524a" targetNamespace="http://schemas.microsoft.com/office/2006/metadata/properties" ma:root="true" ma:fieldsID="773d43361f8916581d71661ab492c043" ns1:_="" ns3:_="" ns4:_="">
    <xsd:import namespace="http://schemas.microsoft.com/sharepoint/v3"/>
    <xsd:import namespace="f84673fe-03a5-4278-80b4-b84a975211bc"/>
    <xsd:import namespace="769b5e5b-27c5-4827-9660-9ea4a2da5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73fe-03a5-4278-80b4-b84a97521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5e5b-27c5-4827-9660-9ea4a2da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ABA8-C98B-4779-B8C2-DF4F790C5FBB}">
  <ds:schemaRefs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f84673fe-03a5-4278-80b4-b84a975211bc"/>
    <ds:schemaRef ds:uri="http://schemas.microsoft.com/office/2006/documentManagement/types"/>
    <ds:schemaRef ds:uri="769b5e5b-27c5-4827-9660-9ea4a2da52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DF93B4-1C62-4631-99A0-8649C8AEA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D2F0-3C1D-4BDD-B746-DDEC0EF3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4673fe-03a5-4278-80b4-b84a975211bc"/>
    <ds:schemaRef ds:uri="769b5e5b-27c5-4827-9660-9ea4a2da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3F1D7-0F4E-4304-AEE2-15F05402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19</Pages>
  <Words>3436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FHA Commercial Mortgage Portfolio</vt:lpstr>
    </vt:vector>
  </TitlesOfParts>
  <Company>Housing and Urban Development</Company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FHA Commercial Mortgage Portfolio</dc:title>
  <dc:subject>Credit Risk Report</dc:subject>
  <dc:creator>Aminou (Ctr), Rachidi A</dc:creator>
  <cp:keywords/>
  <cp:lastModifiedBy>Abel (CTR), Melanie C</cp:lastModifiedBy>
  <cp:revision>26</cp:revision>
  <cp:lastPrinted>2021-07-12T13:58:00Z</cp:lastPrinted>
  <dcterms:created xsi:type="dcterms:W3CDTF">2021-04-15T20:02:00Z</dcterms:created>
  <dcterms:modified xsi:type="dcterms:W3CDTF">2021-07-12T13:59:00Z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0x010100C09AA06B3699AC4E8EF9FC47F779AFC9</vt:lpwstr>
  </property>
</Properties>
</file>