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D6EDD" w14:textId="77777777" w:rsidR="00EB3C3F" w:rsidRPr="00EB3C3F" w:rsidRDefault="00EB3C3F" w:rsidP="00EB3C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CD6EDE" w14:textId="77777777" w:rsidR="00EB3C3F" w:rsidRDefault="00EB3C3F" w:rsidP="00EB3C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B3C3F">
        <w:rPr>
          <w:rFonts w:ascii="Times New Roman" w:hAnsi="Times New Roman" w:cs="Times New Roman"/>
          <w:sz w:val="24"/>
          <w:szCs w:val="24"/>
        </w:rPr>
        <w:t xml:space="preserve"> </w:t>
      </w:r>
      <w:r w:rsidRPr="00EB3C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CHAPTER 6 </w:t>
      </w:r>
    </w:p>
    <w:p w14:paraId="3ACD6EDF" w14:textId="77777777" w:rsidR="001625DC" w:rsidRPr="00EB3C3F" w:rsidRDefault="001625DC" w:rsidP="00EB3C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ACD6EE0" w14:textId="77777777" w:rsidR="00EB3C3F" w:rsidRDefault="00EB3C3F" w:rsidP="00EB3C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B3C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DISASTER RECOVERY COMMUNITY DEVELOPMENT BLOCK GRANT SUPPLEMENTAL GRANTS </w:t>
      </w:r>
    </w:p>
    <w:p w14:paraId="3ACD6EE1" w14:textId="77777777" w:rsidR="001625DC" w:rsidRDefault="001625DC" w:rsidP="00EB3C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ACD6EE2" w14:textId="77777777" w:rsidR="001625DC" w:rsidRPr="00EB3C3F" w:rsidRDefault="001625DC" w:rsidP="00EB3C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ACD6EE3" w14:textId="6BFB2DD1" w:rsidR="00EB3C3F" w:rsidRDefault="00EB3C3F" w:rsidP="00EB3C3F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color w:val="000000"/>
          <w:sz w:val="23"/>
          <w:szCs w:val="23"/>
        </w:rPr>
      </w:pPr>
      <w:r w:rsidRPr="00EB3C3F">
        <w:rPr>
          <w:rFonts w:ascii="Times New Roman" w:hAnsi="Times New Roman" w:cs="Times New Roman"/>
          <w:color w:val="000000"/>
          <w:sz w:val="23"/>
          <w:szCs w:val="23"/>
        </w:rPr>
        <w:t xml:space="preserve">6-1 </w:t>
      </w:r>
      <w:r w:rsidR="001625DC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EB3C3F">
        <w:rPr>
          <w:rFonts w:ascii="Times New Roman" w:hAnsi="Times New Roman" w:cs="Times New Roman"/>
          <w:color w:val="000000"/>
          <w:sz w:val="23"/>
          <w:szCs w:val="23"/>
          <w:u w:val="single"/>
        </w:rPr>
        <w:t>APPLICABILITY.</w:t>
      </w:r>
      <w:r w:rsidRPr="001625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B3C3F">
        <w:rPr>
          <w:rFonts w:ascii="Times New Roman" w:hAnsi="Times New Roman" w:cs="Times New Roman"/>
          <w:color w:val="000000"/>
          <w:sz w:val="23"/>
          <w:szCs w:val="23"/>
        </w:rPr>
        <w:t xml:space="preserve">This </w:t>
      </w:r>
      <w:r w:rsidR="00585766"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Pr="00EB3C3F">
        <w:rPr>
          <w:rFonts w:ascii="Times New Roman" w:hAnsi="Times New Roman" w:cs="Times New Roman"/>
          <w:color w:val="000000"/>
          <w:sz w:val="23"/>
          <w:szCs w:val="23"/>
        </w:rPr>
        <w:t xml:space="preserve">hapter is applicable to monitoring Community Development Block Grant (CDBG) supplemental grants made to states and local governments for Federally-declared disaster areas. </w:t>
      </w:r>
    </w:p>
    <w:p w14:paraId="3D71D2E8" w14:textId="77777777" w:rsidR="00F56698" w:rsidRPr="00EB3C3F" w:rsidRDefault="00F56698" w:rsidP="00EB3C3F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color w:val="000000"/>
          <w:sz w:val="23"/>
          <w:szCs w:val="23"/>
        </w:rPr>
      </w:pPr>
    </w:p>
    <w:p w14:paraId="52CEEE31" w14:textId="35DBF7A4" w:rsidR="00B23B61" w:rsidRDefault="00EB3C3F" w:rsidP="00203A0E">
      <w:pPr>
        <w:pStyle w:val="Default"/>
        <w:ind w:left="720" w:hanging="630"/>
        <w:rPr>
          <w:sz w:val="23"/>
          <w:szCs w:val="23"/>
        </w:rPr>
      </w:pPr>
      <w:r w:rsidRPr="00EB3C3F">
        <w:rPr>
          <w:sz w:val="23"/>
          <w:szCs w:val="23"/>
        </w:rPr>
        <w:t xml:space="preserve">6-2 </w:t>
      </w:r>
      <w:r w:rsidR="001625DC">
        <w:rPr>
          <w:sz w:val="23"/>
          <w:szCs w:val="23"/>
        </w:rPr>
        <w:tab/>
      </w:r>
      <w:r w:rsidRPr="00EB3C3F">
        <w:rPr>
          <w:sz w:val="23"/>
          <w:szCs w:val="23"/>
          <w:u w:val="single"/>
        </w:rPr>
        <w:t>RULES AND NOTICES.</w:t>
      </w:r>
      <w:r w:rsidRPr="001625DC">
        <w:rPr>
          <w:sz w:val="23"/>
          <w:szCs w:val="23"/>
        </w:rPr>
        <w:t xml:space="preserve"> </w:t>
      </w:r>
      <w:r w:rsidR="001625DC">
        <w:rPr>
          <w:sz w:val="23"/>
          <w:szCs w:val="23"/>
        </w:rPr>
        <w:t xml:space="preserve"> </w:t>
      </w:r>
      <w:r w:rsidRPr="00EB3C3F">
        <w:rPr>
          <w:sz w:val="23"/>
          <w:szCs w:val="23"/>
        </w:rPr>
        <w:t xml:space="preserve">The covered disaster recovery grants are from CDBG supplemental appropriations, so the basic requirements </w:t>
      </w:r>
      <w:r w:rsidR="00B23B61">
        <w:rPr>
          <w:sz w:val="23"/>
          <w:szCs w:val="23"/>
        </w:rPr>
        <w:t>can be the same</w:t>
      </w:r>
      <w:r w:rsidRPr="00EB3C3F">
        <w:rPr>
          <w:sz w:val="23"/>
          <w:szCs w:val="23"/>
        </w:rPr>
        <w:t xml:space="preserve"> for disaster recovery grants as for the regular CDBG Entitlement and State programs. </w:t>
      </w:r>
      <w:r>
        <w:rPr>
          <w:sz w:val="23"/>
          <w:szCs w:val="23"/>
        </w:rPr>
        <w:t xml:space="preserve"> </w:t>
      </w:r>
      <w:r w:rsidR="001B199D">
        <w:rPr>
          <w:sz w:val="23"/>
          <w:szCs w:val="23"/>
        </w:rPr>
        <w:t>However, these</w:t>
      </w:r>
      <w:r>
        <w:rPr>
          <w:sz w:val="23"/>
          <w:szCs w:val="23"/>
        </w:rPr>
        <w:t xml:space="preserve"> </w:t>
      </w:r>
      <w:r w:rsidR="002D2F5B">
        <w:rPr>
          <w:sz w:val="23"/>
          <w:szCs w:val="23"/>
        </w:rPr>
        <w:t>Exhibit</w:t>
      </w:r>
      <w:r>
        <w:rPr>
          <w:sz w:val="23"/>
          <w:szCs w:val="23"/>
        </w:rPr>
        <w:t>s</w:t>
      </w:r>
      <w:r w:rsidR="001B199D">
        <w:rPr>
          <w:sz w:val="23"/>
          <w:szCs w:val="23"/>
        </w:rPr>
        <w:t xml:space="preserve"> are necessary as</w:t>
      </w:r>
      <w:r>
        <w:rPr>
          <w:sz w:val="23"/>
          <w:szCs w:val="23"/>
        </w:rPr>
        <w:t xml:space="preserve"> disaster recovery activities</w:t>
      </w:r>
      <w:r w:rsidR="001B199D">
        <w:rPr>
          <w:sz w:val="23"/>
          <w:szCs w:val="23"/>
        </w:rPr>
        <w:t xml:space="preserve"> involve activities not generally eligible in the regular programs</w:t>
      </w:r>
      <w:r w:rsidR="00240792">
        <w:rPr>
          <w:sz w:val="23"/>
          <w:szCs w:val="23"/>
        </w:rPr>
        <w:t xml:space="preserve"> and may </w:t>
      </w:r>
      <w:r w:rsidR="006F2CF5">
        <w:rPr>
          <w:sz w:val="23"/>
          <w:szCs w:val="23"/>
        </w:rPr>
        <w:t>include additional</w:t>
      </w:r>
      <w:r w:rsidR="00240792">
        <w:rPr>
          <w:sz w:val="23"/>
          <w:szCs w:val="23"/>
        </w:rPr>
        <w:t xml:space="preserve"> requirements for specific activity types</w:t>
      </w:r>
      <w:r w:rsidR="006F2CF5">
        <w:rPr>
          <w:sz w:val="23"/>
          <w:szCs w:val="23"/>
        </w:rPr>
        <w:t xml:space="preserve">. </w:t>
      </w:r>
      <w:r w:rsidR="00F56698">
        <w:rPr>
          <w:sz w:val="23"/>
          <w:szCs w:val="23"/>
        </w:rPr>
        <w:t xml:space="preserve"> </w:t>
      </w:r>
      <w:r w:rsidR="006F2CF5">
        <w:rPr>
          <w:sz w:val="23"/>
          <w:szCs w:val="23"/>
        </w:rPr>
        <w:t>For example, housing acti</w:t>
      </w:r>
      <w:r w:rsidR="00641E71">
        <w:rPr>
          <w:sz w:val="23"/>
          <w:szCs w:val="23"/>
        </w:rPr>
        <w:t>vities under P</w:t>
      </w:r>
      <w:r w:rsidR="00D6750C">
        <w:rPr>
          <w:sz w:val="23"/>
          <w:szCs w:val="23"/>
        </w:rPr>
        <w:t xml:space="preserve">ublic Law </w:t>
      </w:r>
      <w:r w:rsidR="00641E71">
        <w:rPr>
          <w:sz w:val="23"/>
          <w:szCs w:val="23"/>
        </w:rPr>
        <w:t>113-2</w:t>
      </w:r>
      <w:r w:rsidR="006F2CF5">
        <w:rPr>
          <w:sz w:val="23"/>
          <w:szCs w:val="23"/>
        </w:rPr>
        <w:t xml:space="preserve"> must meet certain green building standards</w:t>
      </w:r>
      <w:r w:rsidR="00641E71">
        <w:rPr>
          <w:sz w:val="23"/>
          <w:szCs w:val="23"/>
        </w:rPr>
        <w:t xml:space="preserve"> </w:t>
      </w:r>
      <w:r w:rsidR="00D6750C">
        <w:rPr>
          <w:sz w:val="23"/>
          <w:szCs w:val="23"/>
        </w:rPr>
        <w:t xml:space="preserve">(see the </w:t>
      </w:r>
      <w:r w:rsidR="00D6750C" w:rsidRPr="00D6750C">
        <w:rPr>
          <w:i/>
          <w:sz w:val="23"/>
          <w:szCs w:val="23"/>
        </w:rPr>
        <w:t>Federal Register</w:t>
      </w:r>
      <w:r w:rsidR="00D6750C">
        <w:rPr>
          <w:sz w:val="23"/>
          <w:szCs w:val="23"/>
        </w:rPr>
        <w:t xml:space="preserve"> Notice published March 5, 2013 at </w:t>
      </w:r>
      <w:r w:rsidR="00641E71" w:rsidRPr="00641E71">
        <w:rPr>
          <w:sz w:val="23"/>
          <w:szCs w:val="23"/>
        </w:rPr>
        <w:t>78 FR 14329</w:t>
      </w:r>
      <w:r w:rsidR="00D6750C">
        <w:rPr>
          <w:sz w:val="23"/>
          <w:szCs w:val="23"/>
        </w:rPr>
        <w:t>)</w:t>
      </w:r>
      <w:r w:rsidR="00240792">
        <w:rPr>
          <w:sz w:val="23"/>
          <w:szCs w:val="23"/>
        </w:rPr>
        <w:t xml:space="preserve"> </w:t>
      </w:r>
      <w:r w:rsidR="006F2CF5">
        <w:rPr>
          <w:sz w:val="23"/>
          <w:szCs w:val="23"/>
        </w:rPr>
        <w:t>that are not required of housing activities under the regular CDBG programs</w:t>
      </w:r>
      <w:r>
        <w:rPr>
          <w:sz w:val="23"/>
          <w:szCs w:val="23"/>
        </w:rPr>
        <w:t>.</w:t>
      </w:r>
      <w:r w:rsidR="004B1456">
        <w:rPr>
          <w:sz w:val="23"/>
          <w:szCs w:val="23"/>
        </w:rPr>
        <w:t xml:space="preserve"> </w:t>
      </w:r>
    </w:p>
    <w:p w14:paraId="4D322D46" w14:textId="77777777" w:rsidR="00B23B61" w:rsidRDefault="00B23B61" w:rsidP="00203A0E">
      <w:pPr>
        <w:pStyle w:val="Default"/>
        <w:ind w:left="720" w:hanging="630"/>
        <w:rPr>
          <w:sz w:val="23"/>
          <w:szCs w:val="23"/>
        </w:rPr>
      </w:pPr>
    </w:p>
    <w:p w14:paraId="3ACD6EE4" w14:textId="349D7381" w:rsidR="00EB3C3F" w:rsidRPr="003C035F" w:rsidRDefault="006E5869" w:rsidP="00C07E81">
      <w:pPr>
        <w:pStyle w:val="Default"/>
        <w:ind w:left="720"/>
        <w:rPr>
          <w:sz w:val="23"/>
          <w:szCs w:val="23"/>
        </w:rPr>
      </w:pPr>
      <w:r w:rsidRPr="003C035F">
        <w:rPr>
          <w:sz w:val="23"/>
          <w:szCs w:val="23"/>
        </w:rPr>
        <w:t xml:space="preserve">Chapter 6 </w:t>
      </w:r>
      <w:r w:rsidR="00EF1479" w:rsidRPr="003C035F">
        <w:rPr>
          <w:sz w:val="23"/>
          <w:szCs w:val="23"/>
        </w:rPr>
        <w:t>E</w:t>
      </w:r>
      <w:r w:rsidRPr="003C035F">
        <w:rPr>
          <w:sz w:val="23"/>
          <w:szCs w:val="23"/>
        </w:rPr>
        <w:t xml:space="preserve">xhibits are split into two </w:t>
      </w:r>
      <w:r w:rsidR="00F87797" w:rsidRPr="003C035F">
        <w:rPr>
          <w:sz w:val="23"/>
          <w:szCs w:val="23"/>
        </w:rPr>
        <w:t>main components</w:t>
      </w:r>
      <w:r w:rsidRPr="003C035F">
        <w:rPr>
          <w:sz w:val="23"/>
          <w:szCs w:val="23"/>
        </w:rPr>
        <w:t xml:space="preserve">: </w:t>
      </w:r>
      <w:r w:rsidR="0063440D" w:rsidRPr="003C035F">
        <w:rPr>
          <w:sz w:val="23"/>
          <w:szCs w:val="23"/>
        </w:rPr>
        <w:t>The</w:t>
      </w:r>
      <w:r w:rsidRPr="003C035F">
        <w:rPr>
          <w:sz w:val="23"/>
          <w:szCs w:val="23"/>
        </w:rPr>
        <w:t xml:space="preserve"> </w:t>
      </w:r>
      <w:r w:rsidR="00EF1479" w:rsidRPr="003C035F">
        <w:rPr>
          <w:sz w:val="23"/>
          <w:szCs w:val="23"/>
        </w:rPr>
        <w:t>“b</w:t>
      </w:r>
      <w:r w:rsidRPr="003C035F">
        <w:rPr>
          <w:sz w:val="23"/>
          <w:szCs w:val="23"/>
        </w:rPr>
        <w:t>ase</w:t>
      </w:r>
      <w:r w:rsidR="00EF1479" w:rsidRPr="003C035F">
        <w:rPr>
          <w:sz w:val="23"/>
          <w:szCs w:val="23"/>
        </w:rPr>
        <w:t>”</w:t>
      </w:r>
      <w:r w:rsidRPr="003C035F">
        <w:rPr>
          <w:sz w:val="23"/>
          <w:szCs w:val="23"/>
        </w:rPr>
        <w:t xml:space="preserve"> Exhibits (</w:t>
      </w:r>
      <w:r w:rsidR="000C30B6" w:rsidRPr="003C035F">
        <w:rPr>
          <w:sz w:val="23"/>
          <w:szCs w:val="23"/>
        </w:rPr>
        <w:t>6-1 through 6-</w:t>
      </w:r>
      <w:r w:rsidR="000F2901" w:rsidRPr="003C035F">
        <w:rPr>
          <w:sz w:val="23"/>
          <w:szCs w:val="23"/>
        </w:rPr>
        <w:t>8</w:t>
      </w:r>
      <w:r w:rsidR="000C30B6" w:rsidRPr="003C035F">
        <w:rPr>
          <w:sz w:val="23"/>
          <w:szCs w:val="23"/>
        </w:rPr>
        <w:t xml:space="preserve">) and the </w:t>
      </w:r>
      <w:r w:rsidR="003C035F">
        <w:rPr>
          <w:sz w:val="23"/>
          <w:szCs w:val="23"/>
        </w:rPr>
        <w:t>A</w:t>
      </w:r>
      <w:r w:rsidR="000C30B6" w:rsidRPr="003C035F">
        <w:rPr>
          <w:sz w:val="23"/>
          <w:szCs w:val="23"/>
        </w:rPr>
        <w:t>ddend</w:t>
      </w:r>
      <w:r w:rsidR="00250B5F" w:rsidRPr="003C035F">
        <w:rPr>
          <w:sz w:val="23"/>
          <w:szCs w:val="23"/>
        </w:rPr>
        <w:t>a</w:t>
      </w:r>
      <w:r w:rsidR="000C30B6" w:rsidRPr="003C035F">
        <w:rPr>
          <w:sz w:val="23"/>
          <w:szCs w:val="23"/>
        </w:rPr>
        <w:t xml:space="preserve"> </w:t>
      </w:r>
      <w:r w:rsidR="008D58A8" w:rsidRPr="003C035F">
        <w:rPr>
          <w:sz w:val="23"/>
          <w:szCs w:val="23"/>
        </w:rPr>
        <w:t>based-on</w:t>
      </w:r>
      <w:r w:rsidR="000C30B6" w:rsidRPr="003C035F">
        <w:rPr>
          <w:sz w:val="23"/>
          <w:szCs w:val="23"/>
        </w:rPr>
        <w:t xml:space="preserve"> disaster year</w:t>
      </w:r>
      <w:r w:rsidR="00C04251" w:rsidRPr="003C035F">
        <w:rPr>
          <w:sz w:val="23"/>
          <w:szCs w:val="23"/>
        </w:rPr>
        <w:t xml:space="preserve"> or use of CDBG-MIT funds</w:t>
      </w:r>
      <w:r w:rsidR="000C30B6" w:rsidRPr="003C035F">
        <w:rPr>
          <w:sz w:val="23"/>
          <w:szCs w:val="23"/>
        </w:rPr>
        <w:t xml:space="preserve"> (</w:t>
      </w:r>
      <w:r w:rsidR="00AB3E78" w:rsidRPr="003C035F">
        <w:rPr>
          <w:sz w:val="23"/>
          <w:szCs w:val="23"/>
        </w:rPr>
        <w:t xml:space="preserve">6-10 </w:t>
      </w:r>
      <w:r w:rsidR="000F2901" w:rsidRPr="00502D49">
        <w:rPr>
          <w:sz w:val="23"/>
          <w:szCs w:val="23"/>
        </w:rPr>
        <w:t>through</w:t>
      </w:r>
      <w:r w:rsidR="00AB3E78" w:rsidRPr="003C035F">
        <w:rPr>
          <w:sz w:val="23"/>
          <w:szCs w:val="23"/>
        </w:rPr>
        <w:t xml:space="preserve"> 6-15).</w:t>
      </w:r>
      <w:r w:rsidR="0063440D" w:rsidRPr="003C035F">
        <w:rPr>
          <w:sz w:val="23"/>
          <w:szCs w:val="23"/>
        </w:rPr>
        <w:t xml:space="preserve">  </w:t>
      </w:r>
      <w:r w:rsidR="0063440D" w:rsidRPr="003C035F">
        <w:rPr>
          <w:noProof/>
        </w:rPr>
        <w:t xml:space="preserve">The </w:t>
      </w:r>
      <w:r w:rsidR="003C035F">
        <w:rPr>
          <w:noProof/>
        </w:rPr>
        <w:t>A</w:t>
      </w:r>
      <w:r w:rsidR="0063440D" w:rsidRPr="003C035F">
        <w:rPr>
          <w:noProof/>
        </w:rPr>
        <w:t xml:space="preserve">ddendums for each disaster year or grouping will hold all allocation-specific monitoring criteria, special considerations, and additional requirements imposed by statute, </w:t>
      </w:r>
      <w:r w:rsidR="0063440D" w:rsidRPr="003C035F">
        <w:rPr>
          <w:i/>
          <w:iCs/>
          <w:noProof/>
        </w:rPr>
        <w:t xml:space="preserve">Federal Register </w:t>
      </w:r>
      <w:r w:rsidR="0063440D" w:rsidRPr="003C035F">
        <w:rPr>
          <w:noProof/>
        </w:rPr>
        <w:t xml:space="preserve">notice, or grant agreements.  </w:t>
      </w:r>
      <w:r w:rsidR="004103BC" w:rsidRPr="003C035F">
        <w:rPr>
          <w:noProof/>
        </w:rPr>
        <w:t xml:space="preserve">Once a </w:t>
      </w:r>
      <w:r w:rsidR="0063440D" w:rsidRPr="003C035F">
        <w:rPr>
          <w:noProof/>
        </w:rPr>
        <w:t xml:space="preserve">base </w:t>
      </w:r>
      <w:r w:rsidR="003C035F" w:rsidRPr="003C035F">
        <w:rPr>
          <w:noProof/>
        </w:rPr>
        <w:t>E</w:t>
      </w:r>
      <w:r w:rsidR="0063440D" w:rsidRPr="003C035F">
        <w:rPr>
          <w:noProof/>
        </w:rPr>
        <w:t xml:space="preserve">xhibit </w:t>
      </w:r>
      <w:r w:rsidR="004103BC" w:rsidRPr="003C035F">
        <w:rPr>
          <w:noProof/>
        </w:rPr>
        <w:t xml:space="preserve">is chosen for the review based on the </w:t>
      </w:r>
      <w:r w:rsidR="0063440D" w:rsidRPr="003C035F">
        <w:rPr>
          <w:noProof/>
        </w:rPr>
        <w:t xml:space="preserve">activity, program, or area </w:t>
      </w:r>
      <w:r w:rsidR="004103BC" w:rsidRPr="003C035F">
        <w:rPr>
          <w:noProof/>
        </w:rPr>
        <w:t>being monitored</w:t>
      </w:r>
      <w:r w:rsidR="0063440D" w:rsidRPr="003C035F">
        <w:rPr>
          <w:noProof/>
        </w:rPr>
        <w:t xml:space="preserve">, </w:t>
      </w:r>
      <w:r w:rsidR="00EF39EC" w:rsidRPr="003C035F">
        <w:rPr>
          <w:noProof/>
        </w:rPr>
        <w:t xml:space="preserve">an </w:t>
      </w:r>
      <w:r w:rsidR="003C035F">
        <w:rPr>
          <w:noProof/>
        </w:rPr>
        <w:t>A</w:t>
      </w:r>
      <w:r w:rsidR="0063440D" w:rsidRPr="003C035F">
        <w:rPr>
          <w:noProof/>
        </w:rPr>
        <w:t xml:space="preserve">ddendum </w:t>
      </w:r>
      <w:r w:rsidR="00EF39EC" w:rsidRPr="003C035F">
        <w:rPr>
          <w:noProof/>
        </w:rPr>
        <w:t xml:space="preserve">is chosen </w:t>
      </w:r>
      <w:r w:rsidR="0063440D" w:rsidRPr="003C035F">
        <w:rPr>
          <w:noProof/>
        </w:rPr>
        <w:t xml:space="preserve">based on the disaster year </w:t>
      </w:r>
      <w:r w:rsidR="00EF39EC" w:rsidRPr="003C035F">
        <w:rPr>
          <w:noProof/>
        </w:rPr>
        <w:t>of the</w:t>
      </w:r>
      <w:r w:rsidR="00E77368" w:rsidRPr="003C035F">
        <w:rPr>
          <w:noProof/>
        </w:rPr>
        <w:t xml:space="preserve"> CDBG-DR grant</w:t>
      </w:r>
      <w:r w:rsidR="009162E1" w:rsidRPr="003C035F">
        <w:rPr>
          <w:noProof/>
        </w:rPr>
        <w:t xml:space="preserve"> or use of CDBG-MIT funds</w:t>
      </w:r>
      <w:r w:rsidR="0063440D" w:rsidRPr="003C035F">
        <w:rPr>
          <w:noProof/>
        </w:rPr>
        <w:t xml:space="preserve">. </w:t>
      </w:r>
      <w:r w:rsidR="00E77368" w:rsidRPr="003C035F">
        <w:rPr>
          <w:noProof/>
        </w:rPr>
        <w:t xml:space="preserve"> The </w:t>
      </w:r>
      <w:r w:rsidR="00C06655" w:rsidRPr="003C035F">
        <w:rPr>
          <w:noProof/>
        </w:rPr>
        <w:t xml:space="preserve">base </w:t>
      </w:r>
      <w:r w:rsidR="003C035F" w:rsidRPr="003C035F">
        <w:rPr>
          <w:noProof/>
        </w:rPr>
        <w:t>E</w:t>
      </w:r>
      <w:r w:rsidR="00C06655" w:rsidRPr="003C035F">
        <w:rPr>
          <w:noProof/>
        </w:rPr>
        <w:t>xhibit is completed in full</w:t>
      </w:r>
      <w:r w:rsidR="006F6237" w:rsidRPr="003C035F">
        <w:rPr>
          <w:noProof/>
        </w:rPr>
        <w:t>, where appropriate,</w:t>
      </w:r>
      <w:r w:rsidR="00C06655" w:rsidRPr="003C035F">
        <w:rPr>
          <w:noProof/>
        </w:rPr>
        <w:t xml:space="preserve"> and the relevant section of the </w:t>
      </w:r>
      <w:r w:rsidR="003C035F">
        <w:rPr>
          <w:noProof/>
        </w:rPr>
        <w:t>A</w:t>
      </w:r>
      <w:r w:rsidR="00C06655" w:rsidRPr="003C035F">
        <w:rPr>
          <w:noProof/>
        </w:rPr>
        <w:t xml:space="preserve">ddendum is also completed to </w:t>
      </w:r>
      <w:r w:rsidR="00AB5822" w:rsidRPr="003C035F">
        <w:rPr>
          <w:noProof/>
        </w:rPr>
        <w:t>ensure both common and unique program requirements are reviewed.</w:t>
      </w:r>
      <w:r w:rsidR="00203A0E" w:rsidRPr="003C035F">
        <w:rPr>
          <w:noProof/>
        </w:rPr>
        <w:t xml:space="preserve"> </w:t>
      </w:r>
      <w:r w:rsidR="00203A0E" w:rsidRPr="003C035F">
        <w:rPr>
          <w:sz w:val="23"/>
          <w:szCs w:val="23"/>
        </w:rPr>
        <w:t xml:space="preserve">In some cases, </w:t>
      </w:r>
      <w:r w:rsidR="001B199D" w:rsidRPr="003C035F">
        <w:rPr>
          <w:sz w:val="23"/>
          <w:szCs w:val="23"/>
        </w:rPr>
        <w:t>th</w:t>
      </w:r>
      <w:r w:rsidR="00EB3C3F" w:rsidRPr="003C035F">
        <w:rPr>
          <w:sz w:val="23"/>
          <w:szCs w:val="23"/>
        </w:rPr>
        <w:t xml:space="preserve">ese </w:t>
      </w:r>
      <w:r w:rsidR="002D2F5B" w:rsidRPr="003C035F">
        <w:rPr>
          <w:sz w:val="23"/>
          <w:szCs w:val="23"/>
        </w:rPr>
        <w:t>Exhibit</w:t>
      </w:r>
      <w:r w:rsidR="00EB3C3F" w:rsidRPr="003C035F">
        <w:rPr>
          <w:sz w:val="23"/>
          <w:szCs w:val="23"/>
        </w:rPr>
        <w:t xml:space="preserve">s should be used with the monitoring </w:t>
      </w:r>
      <w:r w:rsidR="002D2F5B" w:rsidRPr="003C035F">
        <w:rPr>
          <w:sz w:val="23"/>
          <w:szCs w:val="23"/>
        </w:rPr>
        <w:t>Exhibit</w:t>
      </w:r>
      <w:r w:rsidR="00EB3C3F" w:rsidRPr="003C035F">
        <w:rPr>
          <w:sz w:val="23"/>
          <w:szCs w:val="23"/>
        </w:rPr>
        <w:t>s from the state CDBG or CDBG entitlement programs</w:t>
      </w:r>
      <w:r w:rsidR="001625DC" w:rsidRPr="003C035F">
        <w:rPr>
          <w:sz w:val="23"/>
          <w:szCs w:val="23"/>
        </w:rPr>
        <w:t>,</w:t>
      </w:r>
      <w:r w:rsidR="00EB3C3F" w:rsidRPr="003C035F">
        <w:rPr>
          <w:sz w:val="23"/>
          <w:szCs w:val="23"/>
        </w:rPr>
        <w:t xml:space="preserve"> as applicable.</w:t>
      </w:r>
      <w:r w:rsidR="00C433BA" w:rsidRPr="003C035F">
        <w:rPr>
          <w:sz w:val="23"/>
          <w:szCs w:val="23"/>
        </w:rPr>
        <w:t xml:space="preserve">  In addition, a limited review incorporating only some Exhibits may be conducted where appropriate.  </w:t>
      </w:r>
    </w:p>
    <w:p w14:paraId="724C72E9" w14:textId="79E1591D" w:rsidR="008D58A8" w:rsidRPr="003C035F" w:rsidRDefault="008D58A8" w:rsidP="00C07E81">
      <w:pPr>
        <w:pStyle w:val="Default"/>
        <w:ind w:left="720"/>
        <w:rPr>
          <w:sz w:val="23"/>
          <w:szCs w:val="23"/>
        </w:rPr>
      </w:pPr>
    </w:p>
    <w:p w14:paraId="48C2D780" w14:textId="13DD127A" w:rsidR="00D81936" w:rsidRPr="00502D49" w:rsidRDefault="008D58A8" w:rsidP="00D81936">
      <w:pPr>
        <w:pStyle w:val="Default"/>
        <w:ind w:left="720"/>
        <w:rPr>
          <w:sz w:val="23"/>
          <w:szCs w:val="23"/>
        </w:rPr>
      </w:pPr>
      <w:r w:rsidRPr="00502D49">
        <w:rPr>
          <w:sz w:val="23"/>
          <w:szCs w:val="23"/>
        </w:rPr>
        <w:t>For</w:t>
      </w:r>
      <w:r w:rsidR="00437989" w:rsidRPr="00502D49">
        <w:rPr>
          <w:sz w:val="23"/>
          <w:szCs w:val="23"/>
        </w:rPr>
        <w:t xml:space="preserve"> monitoring</w:t>
      </w:r>
      <w:r w:rsidRPr="00502D49">
        <w:rPr>
          <w:sz w:val="23"/>
          <w:szCs w:val="23"/>
        </w:rPr>
        <w:t xml:space="preserve"> CDBG-MIT</w:t>
      </w:r>
      <w:r w:rsidR="0017039F" w:rsidRPr="00502D49">
        <w:rPr>
          <w:sz w:val="23"/>
          <w:szCs w:val="23"/>
        </w:rPr>
        <w:t xml:space="preserve"> funds</w:t>
      </w:r>
      <w:r w:rsidR="00FE630E" w:rsidRPr="00502D49">
        <w:rPr>
          <w:sz w:val="23"/>
          <w:szCs w:val="23"/>
        </w:rPr>
        <w:t xml:space="preserve">, </w:t>
      </w:r>
      <w:r w:rsidR="002916A3" w:rsidRPr="00502D49">
        <w:rPr>
          <w:sz w:val="23"/>
          <w:szCs w:val="23"/>
        </w:rPr>
        <w:t xml:space="preserve">the </w:t>
      </w:r>
      <w:r w:rsidR="001E351B" w:rsidRPr="00502D49">
        <w:rPr>
          <w:sz w:val="23"/>
          <w:szCs w:val="23"/>
        </w:rPr>
        <w:t xml:space="preserve">6-15 </w:t>
      </w:r>
      <w:r w:rsidR="00D81936" w:rsidRPr="00502D49">
        <w:rPr>
          <w:sz w:val="23"/>
          <w:szCs w:val="23"/>
        </w:rPr>
        <w:t xml:space="preserve">Addendum is to be used as a supplement to the following Chapter 6 Exhibits: </w:t>
      </w:r>
      <w:r w:rsidR="00D81936" w:rsidRPr="00502D49">
        <w:rPr>
          <w:i/>
          <w:iCs/>
          <w:sz w:val="23"/>
          <w:szCs w:val="23"/>
        </w:rPr>
        <w:t>6-1:</w:t>
      </w:r>
      <w:r w:rsidR="00D81936" w:rsidRPr="00502D49">
        <w:rPr>
          <w:sz w:val="23"/>
          <w:szCs w:val="23"/>
        </w:rPr>
        <w:t xml:space="preserve"> </w:t>
      </w:r>
      <w:r w:rsidR="00D81936" w:rsidRPr="00502D49">
        <w:rPr>
          <w:i/>
          <w:iCs/>
          <w:sz w:val="23"/>
          <w:szCs w:val="23"/>
        </w:rPr>
        <w:t>Guide for Review of Overall Management</w:t>
      </w:r>
      <w:r w:rsidR="00D81936" w:rsidRPr="00502D49">
        <w:rPr>
          <w:sz w:val="23"/>
          <w:szCs w:val="23"/>
        </w:rPr>
        <w:t xml:space="preserve">; 6-2: </w:t>
      </w:r>
      <w:r w:rsidR="00D81936" w:rsidRPr="00502D49">
        <w:rPr>
          <w:i/>
          <w:iCs/>
          <w:sz w:val="23"/>
          <w:szCs w:val="23"/>
        </w:rPr>
        <w:t>Guide for Review of Flood Zone and Floodway Buyouts and Non-Buyout Acquisition</w:t>
      </w:r>
      <w:r w:rsidR="00D81936" w:rsidRPr="00502D49">
        <w:rPr>
          <w:sz w:val="23"/>
          <w:szCs w:val="23"/>
        </w:rPr>
        <w:t xml:space="preserve">; 6-3: </w:t>
      </w:r>
      <w:r w:rsidR="00D81936" w:rsidRPr="00502D49">
        <w:rPr>
          <w:i/>
          <w:iCs/>
          <w:sz w:val="23"/>
          <w:szCs w:val="23"/>
        </w:rPr>
        <w:t>Review of New Construction of Housing</w:t>
      </w:r>
      <w:r w:rsidR="00D81936" w:rsidRPr="00502D49">
        <w:rPr>
          <w:sz w:val="23"/>
          <w:szCs w:val="23"/>
        </w:rPr>
        <w:t xml:space="preserve">; </w:t>
      </w:r>
      <w:r w:rsidR="00D81936" w:rsidRPr="00502D49">
        <w:rPr>
          <w:i/>
          <w:iCs/>
          <w:sz w:val="23"/>
          <w:szCs w:val="23"/>
        </w:rPr>
        <w:t>6-4: Review of Infrastructure and Public Facilities; 6-5: Review of Economic Development;</w:t>
      </w:r>
      <w:r w:rsidR="00D81936" w:rsidRPr="00502D49">
        <w:rPr>
          <w:sz w:val="23"/>
          <w:szCs w:val="23"/>
        </w:rPr>
        <w:t xml:space="preserve"> </w:t>
      </w:r>
      <w:r w:rsidR="00D81936" w:rsidRPr="00502D49">
        <w:rPr>
          <w:i/>
          <w:iCs/>
          <w:sz w:val="23"/>
          <w:szCs w:val="23"/>
        </w:rPr>
        <w:t>6-6: Review of Housing Rehabilitation and Reconstruction; and 6-8: Review of Procurement</w:t>
      </w:r>
      <w:r w:rsidR="00D81936" w:rsidRPr="00502D49">
        <w:rPr>
          <w:sz w:val="23"/>
          <w:szCs w:val="23"/>
        </w:rPr>
        <w:t xml:space="preserve"> to monitor activities carried out with CDBG-Mitigation (CDBG-MIT) funds. </w:t>
      </w:r>
    </w:p>
    <w:p w14:paraId="75D227AF" w14:textId="77777777" w:rsidR="00D81936" w:rsidRPr="00502D49" w:rsidRDefault="00D81936" w:rsidP="00D81936">
      <w:pPr>
        <w:pStyle w:val="Default"/>
        <w:ind w:left="720"/>
        <w:rPr>
          <w:sz w:val="23"/>
          <w:szCs w:val="23"/>
        </w:rPr>
      </w:pPr>
    </w:p>
    <w:p w14:paraId="1A494AC7" w14:textId="2C4F7691" w:rsidR="00D81936" w:rsidRPr="003C035F" w:rsidRDefault="00D81936" w:rsidP="00D81936">
      <w:pPr>
        <w:pStyle w:val="Default"/>
        <w:ind w:left="720"/>
        <w:rPr>
          <w:sz w:val="23"/>
          <w:szCs w:val="23"/>
        </w:rPr>
      </w:pPr>
      <w:r w:rsidRPr="00502D49">
        <w:rPr>
          <w:sz w:val="23"/>
          <w:szCs w:val="23"/>
        </w:rPr>
        <w:t xml:space="preserve">It addresses only those additional monitoring criteria specific to CDBG-MIT grantees per the applicable </w:t>
      </w:r>
      <w:r w:rsidRPr="00502D49">
        <w:rPr>
          <w:i/>
          <w:iCs/>
          <w:sz w:val="23"/>
          <w:szCs w:val="23"/>
        </w:rPr>
        <w:t>Federal Register</w:t>
      </w:r>
      <w:r w:rsidRPr="00502D49">
        <w:rPr>
          <w:sz w:val="23"/>
          <w:szCs w:val="23"/>
        </w:rPr>
        <w:t xml:space="preserve"> notice published on August 30, 2019 (84 FR 45838).  For the purpose of monitoring a CDBG-MIT grantee, Chapter 6 Exhibits (6-1 through 6-8) references to “CDBG-DR” requirements should be interpreted as references to “CDBG-MIT”.</w:t>
      </w:r>
      <w:r w:rsidRPr="003C035F">
        <w:rPr>
          <w:sz w:val="23"/>
          <w:szCs w:val="23"/>
        </w:rPr>
        <w:t xml:space="preserve"> </w:t>
      </w:r>
    </w:p>
    <w:p w14:paraId="470575B8" w14:textId="77777777" w:rsidR="00D81936" w:rsidRPr="003C035F" w:rsidRDefault="00D81936" w:rsidP="00C07E81">
      <w:pPr>
        <w:pStyle w:val="Default"/>
        <w:ind w:left="720"/>
        <w:rPr>
          <w:sz w:val="23"/>
          <w:szCs w:val="23"/>
        </w:rPr>
      </w:pPr>
    </w:p>
    <w:p w14:paraId="3ACD6EE6" w14:textId="3B2E9649" w:rsidR="00EB3C3F" w:rsidRPr="003C035F" w:rsidRDefault="00D73EA0" w:rsidP="00EB3C3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 w:rsidRPr="003C035F">
        <w:rPr>
          <w:rFonts w:ascii="Times New Roman" w:hAnsi="Times New Roman"/>
          <w:color w:val="000000" w:themeColor="text1"/>
          <w:sz w:val="24"/>
          <w:szCs w:val="24"/>
        </w:rPr>
        <w:lastRenderedPageBreak/>
        <w:t>When HUD grants waivers or makes modifications applicable to the recipients of supplemental CDBG Disaster Recovery grants, those changes are published in a Federal Register Notice.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106E6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(HUD </w:t>
      </w:r>
      <w:r w:rsidR="00EA4E63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is </w:t>
      </w:r>
      <w:r w:rsidR="00EB7C96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generally </w:t>
      </w:r>
      <w:r w:rsidR="00EA4E63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prohibited from 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>waiv</w:t>
      </w:r>
      <w:r w:rsidR="00AD457A" w:rsidRPr="003C035F">
        <w:rPr>
          <w:rFonts w:ascii="Times New Roman" w:hAnsi="Times New Roman" w:cs="Times New Roman"/>
          <w:color w:val="000000"/>
          <w:sz w:val="23"/>
          <w:szCs w:val="23"/>
        </w:rPr>
        <w:t>ing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 or modify</w:t>
      </w:r>
      <w:r w:rsidR="007409BD" w:rsidRPr="003C035F">
        <w:rPr>
          <w:rFonts w:ascii="Times New Roman" w:hAnsi="Times New Roman" w:cs="Times New Roman"/>
          <w:color w:val="000000"/>
          <w:sz w:val="23"/>
          <w:szCs w:val="23"/>
        </w:rPr>
        <w:t>ing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35C9C" w:rsidRPr="003C035F">
        <w:rPr>
          <w:rFonts w:ascii="Times New Roman" w:hAnsi="Times New Roman" w:cs="Times New Roman"/>
          <w:color w:val="000000"/>
          <w:sz w:val="23"/>
          <w:szCs w:val="23"/>
        </w:rPr>
        <w:t>fair housing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063D3" w:rsidRPr="003C035F">
        <w:rPr>
          <w:rFonts w:ascii="Times New Roman" w:hAnsi="Times New Roman" w:cs="Times New Roman"/>
          <w:color w:val="000000"/>
          <w:sz w:val="23"/>
          <w:szCs w:val="23"/>
        </w:rPr>
        <w:t>lead-based paint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, environmental, labor, or civil rights requirements.) </w:t>
      </w:r>
      <w:r w:rsidR="00E106E6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>The published Notices for disaster</w:t>
      </w:r>
      <w:r w:rsidR="00647DE8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 recovery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 are included in A</w:t>
      </w:r>
      <w:r w:rsidR="00F6575E" w:rsidRPr="003C035F">
        <w:rPr>
          <w:rFonts w:ascii="Times New Roman" w:hAnsi="Times New Roman" w:cs="Times New Roman"/>
          <w:color w:val="000000"/>
          <w:sz w:val="23"/>
          <w:szCs w:val="23"/>
        </w:rPr>
        <w:t>ttachment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 6-1, </w:t>
      </w:r>
      <w:r w:rsidR="00C94AF4" w:rsidRPr="003C035F">
        <w:rPr>
          <w:rFonts w:ascii="Times New Roman" w:hAnsi="Times New Roman" w:cs="Times New Roman"/>
          <w:i/>
          <w:color w:val="000000"/>
          <w:sz w:val="23"/>
          <w:szCs w:val="23"/>
        </w:rPr>
        <w:t>Disaster Recovery CDBG Supplement</w:t>
      </w:r>
      <w:r w:rsidR="00035C9C" w:rsidRPr="003C035F">
        <w:rPr>
          <w:rFonts w:ascii="Times New Roman" w:hAnsi="Times New Roman" w:cs="Times New Roman"/>
          <w:i/>
          <w:color w:val="000000"/>
          <w:sz w:val="23"/>
          <w:szCs w:val="23"/>
        </w:rPr>
        <w:t>al</w:t>
      </w:r>
      <w:r w:rsidR="00C94AF4" w:rsidRPr="003C035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Grants Document Reference Tool</w:t>
      </w:r>
      <w:r w:rsidR="00C94AF4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B3C3F" w:rsidRPr="003C035F">
        <w:rPr>
          <w:rFonts w:ascii="Times New Roman" w:hAnsi="Times New Roman" w:cs="Times New Roman"/>
          <w:color w:val="000000"/>
          <w:sz w:val="23"/>
          <w:szCs w:val="23"/>
        </w:rPr>
        <w:t>and can be found on the HUD website</w:t>
      </w:r>
      <w:r w:rsidR="00B4531B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hyperlink r:id="rId11" w:history="1">
        <w:r w:rsidR="00F56698" w:rsidRPr="003C035F">
          <w:rPr>
            <w:rStyle w:val="Hyperlink"/>
          </w:rPr>
          <w:t>https://www.hudexchange.info/cdbg-dr/cdbg-dr-laws-regulations-and-federal-register-notices/</w:t>
        </w:r>
      </w:hyperlink>
      <w:r w:rsidR="00B4531B" w:rsidRPr="003C035F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3ACD6EE7" w14:textId="77777777" w:rsidR="004F323D" w:rsidRPr="003C035F" w:rsidRDefault="004F323D" w:rsidP="004F323D">
      <w:pPr>
        <w:autoSpaceDE w:val="0"/>
        <w:autoSpaceDN w:val="0"/>
        <w:adjustRightInd w:val="0"/>
        <w:spacing w:after="0"/>
        <w:ind w:left="1080" w:hanging="1080"/>
        <w:rPr>
          <w:rFonts w:ascii="Times New Roman" w:hAnsi="Times New Roman" w:cs="Times New Roman"/>
          <w:color w:val="000000"/>
          <w:sz w:val="23"/>
          <w:szCs w:val="23"/>
        </w:rPr>
      </w:pPr>
    </w:p>
    <w:p w14:paraId="3ACD6EE8" w14:textId="5CEE595E" w:rsidR="00EB3C3F" w:rsidRDefault="00EB3C3F" w:rsidP="00502D49">
      <w:pPr>
        <w:autoSpaceDE w:val="0"/>
        <w:autoSpaceDN w:val="0"/>
        <w:adjustRightInd w:val="0"/>
        <w:spacing w:after="0"/>
        <w:ind w:left="630" w:hanging="630"/>
        <w:rPr>
          <w:rFonts w:ascii="Times New Roman" w:hAnsi="Times New Roman" w:cs="Times New Roman"/>
          <w:sz w:val="23"/>
          <w:szCs w:val="23"/>
        </w:rPr>
      </w:pPr>
      <w:r w:rsidRPr="003C035F">
        <w:rPr>
          <w:rFonts w:ascii="Times New Roman" w:hAnsi="Times New Roman" w:cs="Times New Roman"/>
          <w:sz w:val="23"/>
          <w:szCs w:val="23"/>
        </w:rPr>
        <w:t xml:space="preserve">6-3 </w:t>
      </w:r>
      <w:r w:rsidR="004F323D" w:rsidRPr="001D6A5E">
        <w:rPr>
          <w:rFonts w:ascii="Times New Roman" w:hAnsi="Times New Roman" w:cs="Times New Roman"/>
          <w:sz w:val="23"/>
          <w:szCs w:val="23"/>
        </w:rPr>
        <w:tab/>
      </w:r>
      <w:r w:rsidR="00035C9C" w:rsidRPr="003C035F">
        <w:rPr>
          <w:rFonts w:ascii="Times New Roman" w:hAnsi="Times New Roman" w:cs="Times New Roman"/>
          <w:sz w:val="23"/>
          <w:szCs w:val="23"/>
          <w:u w:val="single"/>
        </w:rPr>
        <w:t>DISASTER RECOVERY</w:t>
      </w:r>
      <w:r w:rsidRPr="003C035F">
        <w:rPr>
          <w:rFonts w:ascii="Times New Roman" w:hAnsi="Times New Roman" w:cs="Times New Roman"/>
          <w:sz w:val="23"/>
          <w:szCs w:val="23"/>
          <w:u w:val="single"/>
        </w:rPr>
        <w:t xml:space="preserve"> REQUIREMENTS.</w:t>
      </w:r>
      <w:r w:rsidR="00E106E6" w:rsidRPr="003C035F">
        <w:rPr>
          <w:rFonts w:ascii="Times New Roman" w:hAnsi="Times New Roman" w:cs="Times New Roman"/>
          <w:sz w:val="23"/>
          <w:szCs w:val="23"/>
        </w:rPr>
        <w:t xml:space="preserve">  </w:t>
      </w:r>
      <w:r w:rsidRPr="003C035F">
        <w:rPr>
          <w:rFonts w:ascii="Times New Roman" w:hAnsi="Times New Roman" w:cs="Times New Roman"/>
          <w:sz w:val="23"/>
          <w:szCs w:val="23"/>
        </w:rPr>
        <w:t xml:space="preserve">Ongoing monitoring of a disaster recovery </w:t>
      </w:r>
      <w:r w:rsidR="00E106E6" w:rsidRPr="003C035F">
        <w:rPr>
          <w:rFonts w:ascii="Times New Roman" w:hAnsi="Times New Roman" w:cs="Times New Roman"/>
          <w:sz w:val="23"/>
          <w:szCs w:val="23"/>
        </w:rPr>
        <w:t>grantee</w:t>
      </w:r>
      <w:r w:rsidRPr="003C035F">
        <w:rPr>
          <w:rFonts w:ascii="Times New Roman" w:hAnsi="Times New Roman" w:cs="Times New Roman"/>
          <w:sz w:val="23"/>
          <w:szCs w:val="23"/>
        </w:rPr>
        <w:t xml:space="preserve"> includes Field Office </w:t>
      </w:r>
      <w:r w:rsidR="00072865" w:rsidRPr="003C035F">
        <w:rPr>
          <w:rFonts w:ascii="Times New Roman" w:hAnsi="Times New Roman" w:cs="Times New Roman"/>
          <w:sz w:val="23"/>
          <w:szCs w:val="23"/>
        </w:rPr>
        <w:t>or headquarters</w:t>
      </w:r>
      <w:r w:rsidRPr="003C035F">
        <w:rPr>
          <w:rFonts w:ascii="Times New Roman" w:hAnsi="Times New Roman" w:cs="Times New Roman"/>
          <w:sz w:val="23"/>
          <w:szCs w:val="23"/>
        </w:rPr>
        <w:t xml:space="preserve"> review of periodic reports. </w:t>
      </w:r>
      <w:r w:rsidR="00F56698" w:rsidRPr="003C035F">
        <w:rPr>
          <w:rFonts w:ascii="Times New Roman" w:hAnsi="Times New Roman" w:cs="Times New Roman"/>
          <w:sz w:val="23"/>
          <w:szCs w:val="23"/>
        </w:rPr>
        <w:t xml:space="preserve"> </w:t>
      </w:r>
      <w:r w:rsidR="001B199D" w:rsidRPr="003C035F">
        <w:rPr>
          <w:rFonts w:ascii="Times New Roman" w:hAnsi="Times New Roman" w:cs="Times New Roman"/>
          <w:sz w:val="23"/>
          <w:szCs w:val="23"/>
        </w:rPr>
        <w:t>The grantee is required to submit</w:t>
      </w:r>
      <w:r w:rsidR="00786485" w:rsidRPr="003C035F">
        <w:rPr>
          <w:rFonts w:ascii="Times New Roman" w:hAnsi="Times New Roman" w:cs="Times New Roman"/>
          <w:sz w:val="23"/>
          <w:szCs w:val="23"/>
        </w:rPr>
        <w:t xml:space="preserve"> </w:t>
      </w:r>
      <w:r w:rsidR="004C3A87" w:rsidRPr="003C035F">
        <w:rPr>
          <w:rFonts w:ascii="Times New Roman" w:hAnsi="Times New Roman" w:cs="Times New Roman"/>
          <w:sz w:val="23"/>
          <w:szCs w:val="23"/>
        </w:rPr>
        <w:t xml:space="preserve">Quarterly </w:t>
      </w:r>
      <w:r w:rsidR="0044758D" w:rsidRPr="003C035F">
        <w:rPr>
          <w:rFonts w:ascii="Times New Roman" w:hAnsi="Times New Roman" w:cs="Times New Roman"/>
          <w:sz w:val="23"/>
          <w:szCs w:val="23"/>
        </w:rPr>
        <w:t>Performance R</w:t>
      </w:r>
      <w:r w:rsidR="004C3A87" w:rsidRPr="003C035F">
        <w:rPr>
          <w:rFonts w:ascii="Times New Roman" w:hAnsi="Times New Roman" w:cs="Times New Roman"/>
          <w:sz w:val="23"/>
          <w:szCs w:val="23"/>
        </w:rPr>
        <w:t xml:space="preserve">eports in the online Disaster Recovery Grant Reporting (DRGR) system </w:t>
      </w:r>
      <w:r w:rsidR="002274C2" w:rsidRPr="003C035F">
        <w:rPr>
          <w:rFonts w:ascii="Times New Roman" w:hAnsi="Times New Roman" w:cs="Times New Roman"/>
          <w:sz w:val="23"/>
          <w:szCs w:val="23"/>
        </w:rPr>
        <w:t xml:space="preserve">no later than </w:t>
      </w:r>
      <w:r w:rsidR="004C3A87" w:rsidRPr="003C035F">
        <w:rPr>
          <w:rFonts w:ascii="Times New Roman" w:hAnsi="Times New Roman" w:cs="Times New Roman"/>
          <w:sz w:val="23"/>
          <w:szCs w:val="23"/>
        </w:rPr>
        <w:t>30 days after the end of each calendar year quarter</w:t>
      </w:r>
      <w:r w:rsidR="001B199D" w:rsidRPr="003C035F">
        <w:rPr>
          <w:rFonts w:ascii="Times New Roman" w:hAnsi="Times New Roman" w:cs="Times New Roman"/>
          <w:sz w:val="23"/>
          <w:szCs w:val="23"/>
        </w:rPr>
        <w:t xml:space="preserve"> per the </w:t>
      </w:r>
      <w:r w:rsidR="001B199D" w:rsidRPr="003C035F">
        <w:rPr>
          <w:rFonts w:ascii="Times New Roman" w:hAnsi="Times New Roman" w:cs="Times New Roman"/>
          <w:i/>
          <w:sz w:val="23"/>
          <w:szCs w:val="23"/>
        </w:rPr>
        <w:t xml:space="preserve">Federal Register </w:t>
      </w:r>
      <w:r w:rsidR="001B199D" w:rsidRPr="003C035F">
        <w:rPr>
          <w:rFonts w:ascii="Times New Roman" w:hAnsi="Times New Roman" w:cs="Times New Roman"/>
          <w:sz w:val="23"/>
          <w:szCs w:val="23"/>
        </w:rPr>
        <w:t>notices for each CDBG disaster recovery grant</w:t>
      </w:r>
      <w:r w:rsidR="004D2F31" w:rsidRPr="003C035F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281C1E5" w14:textId="77777777" w:rsidR="001D6A5E" w:rsidRPr="003C035F" w:rsidRDefault="001D6A5E" w:rsidP="004F323D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3"/>
          <w:szCs w:val="23"/>
        </w:rPr>
      </w:pPr>
    </w:p>
    <w:p w14:paraId="3ACD6EEB" w14:textId="68582A95" w:rsidR="00035C9C" w:rsidRPr="003C035F" w:rsidRDefault="00035C9C" w:rsidP="00C972EA">
      <w:pPr>
        <w:autoSpaceDE w:val="0"/>
        <w:autoSpaceDN w:val="0"/>
        <w:adjustRightInd w:val="0"/>
        <w:spacing w:after="0"/>
        <w:ind w:left="630"/>
        <w:rPr>
          <w:rFonts w:ascii="Times New Roman" w:hAnsi="Times New Roman" w:cs="Times New Roman"/>
          <w:sz w:val="23"/>
          <w:szCs w:val="23"/>
        </w:rPr>
      </w:pPr>
      <w:r w:rsidRPr="003C035F">
        <w:rPr>
          <w:rFonts w:ascii="Times New Roman" w:hAnsi="Times New Roman" w:cs="Times New Roman"/>
          <w:sz w:val="23"/>
          <w:szCs w:val="23"/>
        </w:rPr>
        <w:t>The reporting requirements are</w:t>
      </w:r>
      <w:r w:rsidR="00072865" w:rsidRPr="003C035F">
        <w:rPr>
          <w:rFonts w:ascii="Times New Roman" w:hAnsi="Times New Roman" w:cs="Times New Roman"/>
          <w:sz w:val="23"/>
          <w:szCs w:val="23"/>
        </w:rPr>
        <w:t xml:space="preserve"> not</w:t>
      </w:r>
      <w:r w:rsidRPr="003C035F">
        <w:rPr>
          <w:rFonts w:ascii="Times New Roman" w:hAnsi="Times New Roman" w:cs="Times New Roman"/>
          <w:sz w:val="23"/>
          <w:szCs w:val="23"/>
        </w:rPr>
        <w:t xml:space="preserve"> the only </w:t>
      </w:r>
      <w:r w:rsidR="00072865" w:rsidRPr="003C035F">
        <w:rPr>
          <w:rFonts w:ascii="Times New Roman" w:hAnsi="Times New Roman" w:cs="Times New Roman"/>
          <w:sz w:val="23"/>
          <w:szCs w:val="23"/>
        </w:rPr>
        <w:t>items</w:t>
      </w:r>
      <w:r w:rsidRPr="003C035F">
        <w:rPr>
          <w:rFonts w:ascii="Times New Roman" w:hAnsi="Times New Roman" w:cs="Times New Roman"/>
          <w:sz w:val="23"/>
          <w:szCs w:val="23"/>
        </w:rPr>
        <w:t xml:space="preserve"> unique to CDBG disaster recovery grants.  As described in this Chapter, monitoring must include a review of the grantee’s efforts to prevent the duplication of benefits</w:t>
      </w:r>
      <w:r w:rsidR="00072865" w:rsidRPr="003C035F">
        <w:rPr>
          <w:rFonts w:ascii="Times New Roman" w:hAnsi="Times New Roman" w:cs="Times New Roman"/>
          <w:sz w:val="23"/>
          <w:szCs w:val="23"/>
        </w:rPr>
        <w:t xml:space="preserve"> as well as a review of </w:t>
      </w:r>
      <w:r w:rsidR="00B35BB9" w:rsidRPr="003C035F">
        <w:rPr>
          <w:rFonts w:ascii="Times New Roman" w:hAnsi="Times New Roman" w:cs="Times New Roman"/>
          <w:sz w:val="23"/>
          <w:szCs w:val="23"/>
        </w:rPr>
        <w:t>additional CDBG-DR specific items such as</w:t>
      </w:r>
      <w:r w:rsidRPr="003C035F">
        <w:rPr>
          <w:rFonts w:ascii="Times New Roman" w:hAnsi="Times New Roman" w:cs="Times New Roman"/>
          <w:sz w:val="23"/>
          <w:szCs w:val="23"/>
        </w:rPr>
        <w:t xml:space="preserve"> buyout activity compliance and property valuation; </w:t>
      </w:r>
      <w:r w:rsidR="00072865" w:rsidRPr="003C035F">
        <w:rPr>
          <w:rFonts w:ascii="Times New Roman" w:hAnsi="Times New Roman" w:cs="Times New Roman"/>
          <w:sz w:val="23"/>
          <w:szCs w:val="23"/>
        </w:rPr>
        <w:t xml:space="preserve">implementation of </w:t>
      </w:r>
      <w:r w:rsidRPr="003C035F">
        <w:rPr>
          <w:rFonts w:ascii="Times New Roman" w:hAnsi="Times New Roman" w:cs="Times New Roman"/>
          <w:sz w:val="23"/>
          <w:szCs w:val="23"/>
        </w:rPr>
        <w:t xml:space="preserve">new </w:t>
      </w:r>
      <w:r w:rsidR="00072865" w:rsidRPr="003C035F">
        <w:rPr>
          <w:rFonts w:ascii="Times New Roman" w:hAnsi="Times New Roman" w:cs="Times New Roman"/>
          <w:sz w:val="23"/>
          <w:szCs w:val="23"/>
        </w:rPr>
        <w:t>housing</w:t>
      </w:r>
      <w:r w:rsidRPr="003C035F">
        <w:rPr>
          <w:rFonts w:ascii="Times New Roman" w:hAnsi="Times New Roman" w:cs="Times New Roman"/>
          <w:sz w:val="23"/>
          <w:szCs w:val="23"/>
        </w:rPr>
        <w:t xml:space="preserve"> construction </w:t>
      </w:r>
      <w:r w:rsidR="00072865" w:rsidRPr="003C035F">
        <w:rPr>
          <w:rFonts w:ascii="Times New Roman" w:hAnsi="Times New Roman" w:cs="Times New Roman"/>
          <w:sz w:val="23"/>
          <w:szCs w:val="23"/>
        </w:rPr>
        <w:t>activities</w:t>
      </w:r>
      <w:r w:rsidRPr="003C035F">
        <w:rPr>
          <w:rFonts w:ascii="Times New Roman" w:hAnsi="Times New Roman" w:cs="Times New Roman"/>
          <w:sz w:val="23"/>
          <w:szCs w:val="23"/>
        </w:rPr>
        <w:t>; and citizen participation requirements.</w:t>
      </w:r>
    </w:p>
    <w:p w14:paraId="14A1B778" w14:textId="77777777" w:rsidR="00D6750C" w:rsidRPr="003C035F" w:rsidRDefault="00D6750C" w:rsidP="00D6750C">
      <w:pPr>
        <w:autoSpaceDE w:val="0"/>
        <w:autoSpaceDN w:val="0"/>
        <w:adjustRightInd w:val="0"/>
        <w:spacing w:after="0"/>
        <w:ind w:left="600" w:hanging="600"/>
        <w:rPr>
          <w:rFonts w:ascii="Times New Roman" w:hAnsi="Times New Roman" w:cs="Times New Roman"/>
          <w:sz w:val="23"/>
          <w:szCs w:val="23"/>
        </w:rPr>
      </w:pPr>
    </w:p>
    <w:p w14:paraId="3ACD6EED" w14:textId="0E076DC3" w:rsidR="00EB3C3F" w:rsidRPr="003C035F" w:rsidRDefault="00EB3C3F" w:rsidP="00EB3C3F">
      <w:pPr>
        <w:autoSpaceDE w:val="0"/>
        <w:autoSpaceDN w:val="0"/>
        <w:adjustRightInd w:val="0"/>
        <w:spacing w:after="0"/>
        <w:ind w:left="600" w:hanging="600"/>
        <w:rPr>
          <w:rFonts w:ascii="Times New Roman" w:hAnsi="Times New Roman" w:cs="Times New Roman"/>
          <w:sz w:val="23"/>
          <w:szCs w:val="23"/>
        </w:rPr>
      </w:pPr>
      <w:r w:rsidRPr="003C035F">
        <w:rPr>
          <w:rFonts w:ascii="Times New Roman" w:hAnsi="Times New Roman" w:cs="Times New Roman"/>
          <w:sz w:val="23"/>
          <w:szCs w:val="23"/>
        </w:rPr>
        <w:t xml:space="preserve">6-4 </w:t>
      </w:r>
      <w:r w:rsidR="004F323D" w:rsidRPr="003C035F">
        <w:rPr>
          <w:rFonts w:ascii="Times New Roman" w:hAnsi="Times New Roman" w:cs="Times New Roman"/>
          <w:sz w:val="23"/>
          <w:szCs w:val="23"/>
        </w:rPr>
        <w:tab/>
      </w:r>
      <w:r w:rsidRPr="003C035F">
        <w:rPr>
          <w:rFonts w:ascii="Times New Roman" w:hAnsi="Times New Roman" w:cs="Times New Roman"/>
          <w:sz w:val="23"/>
          <w:szCs w:val="23"/>
          <w:u w:val="single"/>
        </w:rPr>
        <w:t>SANCTIONS</w:t>
      </w:r>
      <w:r w:rsidR="001B199D" w:rsidRPr="003C035F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1B199D" w:rsidRPr="003C035F">
        <w:rPr>
          <w:rFonts w:ascii="Times New Roman" w:hAnsi="Times New Roman" w:cs="Times New Roman"/>
          <w:sz w:val="23"/>
          <w:szCs w:val="23"/>
        </w:rPr>
        <w:t xml:space="preserve">  </w:t>
      </w:r>
      <w:r w:rsidRPr="003C035F">
        <w:rPr>
          <w:rFonts w:ascii="Times New Roman" w:hAnsi="Times New Roman" w:cs="Times New Roman"/>
          <w:sz w:val="23"/>
          <w:szCs w:val="23"/>
        </w:rPr>
        <w:t xml:space="preserve">In some instances, the </w:t>
      </w:r>
      <w:r w:rsidR="002D2F5B" w:rsidRPr="003C035F">
        <w:rPr>
          <w:rFonts w:ascii="Times New Roman" w:hAnsi="Times New Roman" w:cs="Times New Roman"/>
          <w:sz w:val="23"/>
          <w:szCs w:val="23"/>
        </w:rPr>
        <w:t>Exhibit</w:t>
      </w:r>
      <w:r w:rsidR="001B199D" w:rsidRPr="003C035F">
        <w:rPr>
          <w:rFonts w:ascii="Times New Roman" w:hAnsi="Times New Roman" w:cs="Times New Roman"/>
          <w:sz w:val="23"/>
          <w:szCs w:val="23"/>
        </w:rPr>
        <w:t>s</w:t>
      </w:r>
      <w:r w:rsidRPr="003C035F">
        <w:rPr>
          <w:rFonts w:ascii="Times New Roman" w:hAnsi="Times New Roman" w:cs="Times New Roman"/>
          <w:sz w:val="23"/>
          <w:szCs w:val="23"/>
        </w:rPr>
        <w:t xml:space="preserve"> in this Chapter refer the HUD reviewer to a controlling document</w:t>
      </w:r>
      <w:r w:rsidR="001B199D" w:rsidRPr="003C035F">
        <w:rPr>
          <w:rFonts w:ascii="Times New Roman" w:hAnsi="Times New Roman" w:cs="Times New Roman"/>
          <w:sz w:val="23"/>
          <w:szCs w:val="23"/>
        </w:rPr>
        <w:t xml:space="preserve"> (i.e., grant agreements and </w:t>
      </w:r>
      <w:r w:rsidR="001B199D" w:rsidRPr="003C035F">
        <w:rPr>
          <w:rFonts w:ascii="Times New Roman" w:hAnsi="Times New Roman" w:cs="Times New Roman"/>
          <w:i/>
          <w:sz w:val="23"/>
          <w:szCs w:val="23"/>
        </w:rPr>
        <w:t>Federal Register</w:t>
      </w:r>
      <w:r w:rsidR="001B199D" w:rsidRPr="003C035F">
        <w:rPr>
          <w:rFonts w:ascii="Times New Roman" w:hAnsi="Times New Roman" w:cs="Times New Roman"/>
          <w:sz w:val="23"/>
          <w:szCs w:val="23"/>
        </w:rPr>
        <w:t xml:space="preserve"> notices)</w:t>
      </w:r>
      <w:r w:rsidRPr="003C035F">
        <w:rPr>
          <w:rFonts w:ascii="Times New Roman" w:hAnsi="Times New Roman" w:cs="Times New Roman"/>
          <w:sz w:val="23"/>
          <w:szCs w:val="23"/>
        </w:rPr>
        <w:t xml:space="preserve"> and do not provide specific citations.</w:t>
      </w:r>
      <w:r w:rsidR="00E106E6" w:rsidRPr="003C035F">
        <w:rPr>
          <w:rFonts w:ascii="Times New Roman" w:hAnsi="Times New Roman" w:cs="Times New Roman"/>
          <w:sz w:val="23"/>
          <w:szCs w:val="23"/>
        </w:rPr>
        <w:t xml:space="preserve"> </w:t>
      </w:r>
      <w:r w:rsidRPr="003C035F">
        <w:rPr>
          <w:rFonts w:ascii="Times New Roman" w:hAnsi="Times New Roman" w:cs="Times New Roman"/>
          <w:sz w:val="23"/>
          <w:szCs w:val="23"/>
        </w:rPr>
        <w:t xml:space="preserve"> This is because rules can vary significantly from appropriation to appropriation, causing the grant agreements and published Notices to vary accordingly</w:t>
      </w:r>
      <w:r w:rsidR="00570A06" w:rsidRPr="003C035F">
        <w:rPr>
          <w:rFonts w:ascii="Times New Roman" w:hAnsi="Times New Roman" w:cs="Times New Roman"/>
          <w:sz w:val="23"/>
          <w:szCs w:val="23"/>
        </w:rPr>
        <w:t>, citing specific waivers, for example, provided to specific grantees</w:t>
      </w:r>
      <w:r w:rsidRPr="003C035F">
        <w:rPr>
          <w:rFonts w:ascii="Times New Roman" w:hAnsi="Times New Roman" w:cs="Times New Roman"/>
          <w:sz w:val="23"/>
          <w:szCs w:val="23"/>
        </w:rPr>
        <w:t xml:space="preserve">. </w:t>
      </w:r>
      <w:r w:rsidR="00E106E6" w:rsidRPr="003C035F">
        <w:rPr>
          <w:rFonts w:ascii="Times New Roman" w:hAnsi="Times New Roman" w:cs="Times New Roman"/>
          <w:sz w:val="23"/>
          <w:szCs w:val="23"/>
        </w:rPr>
        <w:t xml:space="preserve"> </w:t>
      </w:r>
      <w:r w:rsidRPr="003C035F">
        <w:rPr>
          <w:rFonts w:ascii="Times New Roman" w:hAnsi="Times New Roman" w:cs="Times New Roman"/>
          <w:sz w:val="23"/>
          <w:szCs w:val="23"/>
        </w:rPr>
        <w:t xml:space="preserve">HUD reviewers, therefore, will need to ensure that program violation citations are appropriately noted, if deficiencies are identified. </w:t>
      </w:r>
    </w:p>
    <w:p w14:paraId="3ACD6EEE" w14:textId="77777777" w:rsidR="00EB3C3F" w:rsidRPr="003C035F" w:rsidRDefault="00EB3C3F" w:rsidP="00EB3C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</w:p>
    <w:p w14:paraId="491E729C" w14:textId="6BD5027D" w:rsidR="00AE605B" w:rsidRDefault="00EB3C3F" w:rsidP="00AE605B">
      <w:pPr>
        <w:pStyle w:val="Default"/>
        <w:ind w:left="630" w:hanging="630"/>
        <w:rPr>
          <w:sz w:val="23"/>
          <w:szCs w:val="23"/>
        </w:rPr>
      </w:pPr>
      <w:r w:rsidRPr="003C035F">
        <w:rPr>
          <w:sz w:val="23"/>
          <w:szCs w:val="23"/>
        </w:rPr>
        <w:t xml:space="preserve">6-5 </w:t>
      </w:r>
      <w:r w:rsidR="004F323D" w:rsidRPr="003C035F">
        <w:rPr>
          <w:sz w:val="23"/>
          <w:szCs w:val="23"/>
        </w:rPr>
        <w:tab/>
      </w:r>
      <w:r w:rsidR="00AE605B" w:rsidRPr="003C035F">
        <w:rPr>
          <w:sz w:val="23"/>
          <w:szCs w:val="23"/>
          <w:u w:val="single"/>
        </w:rPr>
        <w:t>CLOSE-OUT</w:t>
      </w:r>
      <w:r w:rsidR="00EB209C" w:rsidRPr="003C035F">
        <w:rPr>
          <w:sz w:val="23"/>
          <w:szCs w:val="23"/>
          <w:u w:val="single"/>
        </w:rPr>
        <w:t>S</w:t>
      </w:r>
      <w:r w:rsidR="00AE605B" w:rsidRPr="003C035F">
        <w:rPr>
          <w:sz w:val="23"/>
          <w:szCs w:val="23"/>
          <w:u w:val="single"/>
        </w:rPr>
        <w:t>.</w:t>
      </w:r>
      <w:r w:rsidR="00AE605B" w:rsidRPr="003C035F">
        <w:rPr>
          <w:sz w:val="23"/>
          <w:szCs w:val="23"/>
        </w:rPr>
        <w:t xml:space="preserve"> Unlike State or Entitlement CDBG grantees that receive annual appropriations, CDBG disaster recovery grantees receive CDBG disaster recovery funds only when Congress provides a CDBG disaster recovery supplemental appropriation in response to a Presidentially-declared disaster.  Each disaster recovery supplemental appropriation is unique, and waivers and alternative requirements are often provided to grantees.  As such, the criteria or close-out of these grants is notably different.  Disaster recovery grant close-out is guided by CPD Notice 14-02 (issued February 11, 2014).  Before initiating close-out, Field Office staff should contact the Office of Block Grant Assistance, Disaster Recovery and Special Issues Division, for assistance with the close-out process.</w:t>
      </w:r>
      <w:r w:rsidR="00AE605B">
        <w:rPr>
          <w:sz w:val="23"/>
          <w:szCs w:val="23"/>
        </w:rPr>
        <w:t xml:space="preserve"> </w:t>
      </w:r>
    </w:p>
    <w:p w14:paraId="3ACD6EF0" w14:textId="3927DB8D" w:rsidR="00C44F43" w:rsidRPr="00CD6F69" w:rsidRDefault="00C44F43" w:rsidP="00AE605B">
      <w:pPr>
        <w:autoSpaceDE w:val="0"/>
        <w:autoSpaceDN w:val="0"/>
        <w:adjustRightInd w:val="0"/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</w:p>
    <w:sectPr w:rsidR="00C44F43" w:rsidRPr="00CD6F69" w:rsidSect="004F32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E84FA" w14:textId="77777777" w:rsidR="00285039" w:rsidRDefault="00285039" w:rsidP="001625DC">
      <w:pPr>
        <w:spacing w:after="0"/>
      </w:pPr>
      <w:r>
        <w:separator/>
      </w:r>
    </w:p>
  </w:endnote>
  <w:endnote w:type="continuationSeparator" w:id="0">
    <w:p w14:paraId="1F33514F" w14:textId="77777777" w:rsidR="00285039" w:rsidRDefault="00285039" w:rsidP="001625DC">
      <w:pPr>
        <w:spacing w:after="0"/>
      </w:pPr>
      <w:r>
        <w:continuationSeparator/>
      </w:r>
    </w:p>
  </w:endnote>
  <w:endnote w:type="continuationNotice" w:id="1">
    <w:p w14:paraId="6BB626CE" w14:textId="77777777" w:rsidR="00285039" w:rsidRDefault="002850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6EF7" w14:textId="0DF273BB" w:rsidR="002E0454" w:rsidRPr="00F66A71" w:rsidRDefault="00AD259D" w:rsidP="00E106E6">
    <w:pPr>
      <w:pStyle w:val="Footer"/>
    </w:pPr>
    <w:r>
      <w:rPr>
        <w:rFonts w:ascii="Times New Roman" w:hAnsi="Times New Roman" w:cs="Times New Roman"/>
      </w:rPr>
      <w:t>11</w:t>
    </w:r>
    <w:r w:rsidR="00E106E6" w:rsidRPr="00F66A71">
      <w:rPr>
        <w:rFonts w:ascii="Times New Roman" w:hAnsi="Times New Roman" w:cs="Times New Roman"/>
      </w:rPr>
      <w:t>/20</w:t>
    </w:r>
    <w:r>
      <w:rPr>
        <w:rFonts w:ascii="Times New Roman" w:hAnsi="Times New Roman" w:cs="Times New Roman"/>
      </w:rPr>
      <w:t>20</w:t>
    </w:r>
    <w:r w:rsidR="00E106E6" w:rsidRPr="00F66A71">
      <w:rPr>
        <w:rFonts w:ascii="Times New Roman" w:hAnsi="Times New Roman" w:cs="Times New Roman"/>
      </w:rPr>
      <w:tab/>
    </w:r>
    <w:r w:rsidR="00647DE8" w:rsidRPr="00F66A71">
      <w:rPr>
        <w:rFonts w:ascii="Times New Roman" w:hAnsi="Times New Roman" w:cs="Times New Roman"/>
      </w:rPr>
      <w:t>6-</w:t>
    </w:r>
    <w:r w:rsidR="00C5640E" w:rsidRPr="00F66A71">
      <w:rPr>
        <w:rStyle w:val="PageNumber"/>
        <w:rFonts w:ascii="Times New Roman" w:hAnsi="Times New Roman" w:cs="Times New Roman"/>
      </w:rPr>
      <w:fldChar w:fldCharType="begin"/>
    </w:r>
    <w:r w:rsidR="00647DE8" w:rsidRPr="00F66A71">
      <w:rPr>
        <w:rStyle w:val="PageNumber"/>
        <w:rFonts w:ascii="Times New Roman" w:hAnsi="Times New Roman" w:cs="Times New Roman"/>
      </w:rPr>
      <w:instrText xml:space="preserve"> PAGE </w:instrText>
    </w:r>
    <w:r w:rsidR="00C5640E" w:rsidRPr="00F66A71">
      <w:rPr>
        <w:rStyle w:val="PageNumber"/>
        <w:rFonts w:ascii="Times New Roman" w:hAnsi="Times New Roman" w:cs="Times New Roman"/>
      </w:rPr>
      <w:fldChar w:fldCharType="separate"/>
    </w:r>
    <w:r w:rsidR="00F66A71">
      <w:rPr>
        <w:rStyle w:val="PageNumber"/>
        <w:rFonts w:ascii="Times New Roman" w:hAnsi="Times New Roman" w:cs="Times New Roman"/>
        <w:noProof/>
      </w:rPr>
      <w:t>2</w:t>
    </w:r>
    <w:r w:rsidR="00C5640E" w:rsidRPr="00F66A71">
      <w:rPr>
        <w:rStyle w:val="PageNumber"/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6EF8" w14:textId="4E0D78C8" w:rsidR="002E0454" w:rsidRPr="00F66A71" w:rsidRDefault="00AD259D" w:rsidP="002E0454">
    <w:pPr>
      <w:pStyle w:val="Footer"/>
      <w:ind w:firstLine="4320"/>
      <w:rPr>
        <w:rFonts w:ascii="Times New Roman" w:hAnsi="Times New Roman" w:cs="Times New Roman"/>
      </w:rPr>
    </w:pPr>
    <w:sdt>
      <w:sdtPr>
        <w:id w:val="82031089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2E0454" w:rsidRPr="00F66A71">
          <w:rPr>
            <w:rFonts w:ascii="Times New Roman" w:hAnsi="Times New Roman" w:cs="Times New Roman"/>
          </w:rPr>
          <w:t>6-</w:t>
        </w:r>
        <w:r w:rsidR="00C5640E" w:rsidRPr="00F66A71">
          <w:rPr>
            <w:rStyle w:val="PageNumber"/>
            <w:rFonts w:ascii="Times New Roman" w:hAnsi="Times New Roman" w:cs="Times New Roman"/>
          </w:rPr>
          <w:fldChar w:fldCharType="begin"/>
        </w:r>
        <w:r w:rsidR="00647DE8" w:rsidRPr="00F66A71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C5640E" w:rsidRPr="00F66A71">
          <w:rPr>
            <w:rStyle w:val="PageNumber"/>
            <w:rFonts w:ascii="Times New Roman" w:hAnsi="Times New Roman" w:cs="Times New Roman"/>
          </w:rPr>
          <w:fldChar w:fldCharType="separate"/>
        </w:r>
        <w:r w:rsidR="00F66A71">
          <w:rPr>
            <w:rStyle w:val="PageNumber"/>
            <w:rFonts w:ascii="Times New Roman" w:hAnsi="Times New Roman" w:cs="Times New Roman"/>
            <w:noProof/>
          </w:rPr>
          <w:t>1</w:t>
        </w:r>
        <w:r w:rsidR="00C5640E" w:rsidRPr="00F66A71">
          <w:rPr>
            <w:rStyle w:val="PageNumber"/>
            <w:rFonts w:ascii="Times New Roman" w:hAnsi="Times New Roman" w:cs="Times New Roman"/>
          </w:rPr>
          <w:fldChar w:fldCharType="end"/>
        </w:r>
        <w:r w:rsidR="00F66A71">
          <w:rPr>
            <w:rStyle w:val="PageNumber"/>
            <w:rFonts w:ascii="Times New Roman" w:hAnsi="Times New Roman" w:cs="Times New Roman"/>
          </w:rPr>
          <w:tab/>
        </w:r>
        <w:r w:rsidR="00647DE8" w:rsidRPr="00F66A71">
          <w:rPr>
            <w:rFonts w:ascii="Times New Roman" w:hAnsi="Times New Roman" w:cs="Times New Roman"/>
            <w:i/>
            <w:iCs/>
          </w:rPr>
          <w:t xml:space="preserve"> </w:t>
        </w:r>
        <w:r w:rsidR="00647DE8" w:rsidRPr="00F66A71">
          <w:rPr>
            <w:rFonts w:ascii="Times New Roman" w:hAnsi="Times New Roman" w:cs="Times New Roman"/>
            <w:i/>
            <w:iCs/>
          </w:rPr>
          <w:tab/>
        </w:r>
        <w:r w:rsidRPr="00AD259D">
          <w:rPr>
            <w:rFonts w:ascii="Times New Roman" w:hAnsi="Times New Roman" w:cs="Times New Roman"/>
          </w:rPr>
          <w:t>11</w:t>
        </w:r>
      </w:sdtContent>
    </w:sdt>
    <w:r w:rsidR="002E0454" w:rsidRPr="00F66A71">
      <w:rPr>
        <w:rFonts w:ascii="Times New Roman" w:hAnsi="Times New Roman" w:cs="Times New Roman"/>
      </w:rPr>
      <w:t>/20</w:t>
    </w:r>
    <w:r>
      <w:rPr>
        <w:rFonts w:ascii="Times New Roman" w:hAnsi="Times New Roman" w:cs="Times New Roman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49E3B" w14:textId="77777777" w:rsidR="00AD259D" w:rsidRDefault="00AD2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40D92" w14:textId="77777777" w:rsidR="00285039" w:rsidRDefault="00285039" w:rsidP="001625DC">
      <w:pPr>
        <w:spacing w:after="0"/>
      </w:pPr>
      <w:r>
        <w:separator/>
      </w:r>
    </w:p>
  </w:footnote>
  <w:footnote w:type="continuationSeparator" w:id="0">
    <w:p w14:paraId="46934E66" w14:textId="77777777" w:rsidR="00285039" w:rsidRDefault="00285039" w:rsidP="001625DC">
      <w:pPr>
        <w:spacing w:after="0"/>
      </w:pPr>
      <w:r>
        <w:continuationSeparator/>
      </w:r>
    </w:p>
  </w:footnote>
  <w:footnote w:type="continuationNotice" w:id="1">
    <w:p w14:paraId="7C308C31" w14:textId="77777777" w:rsidR="00285039" w:rsidRDefault="0028503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6EF5" w14:textId="61BCC660" w:rsidR="00647DE8" w:rsidRPr="00690AB3" w:rsidRDefault="00647DE8" w:rsidP="00690AB3">
    <w:pPr>
      <w:pStyle w:val="Header"/>
    </w:pPr>
    <w:r w:rsidRPr="004F323D">
      <w:rPr>
        <w:rFonts w:ascii="Times New Roman" w:hAnsi="Times New Roman" w:cs="Times New Roman"/>
        <w:sz w:val="24"/>
        <w:szCs w:val="24"/>
      </w:rPr>
      <w:t>6509.2 REV</w:t>
    </w:r>
    <w:r>
      <w:rPr>
        <w:rFonts w:ascii="Times New Roman" w:hAnsi="Times New Roman" w:cs="Times New Roman"/>
        <w:strike/>
        <w:sz w:val="24"/>
        <w:szCs w:val="24"/>
      </w:rPr>
      <w:t xml:space="preserve"> </w:t>
    </w:r>
    <w:r w:rsidR="00BA149F">
      <w:rPr>
        <w:rFonts w:ascii="Times New Roman" w:hAnsi="Times New Roman" w:cs="Times New Roman"/>
        <w:sz w:val="24"/>
        <w:szCs w:val="24"/>
      </w:rPr>
      <w:t>7</w:t>
    </w:r>
    <w:r>
      <w:rPr>
        <w:rFonts w:ascii="Times New Roman" w:hAnsi="Times New Roman" w:cs="Times New Roman"/>
        <w:sz w:val="24"/>
        <w:szCs w:val="24"/>
      </w:rPr>
      <w:t xml:space="preserve">  CHG-</w:t>
    </w:r>
    <w:r w:rsidR="00AD259D">
      <w:rPr>
        <w:rFonts w:ascii="Times New Roman" w:hAnsi="Times New Roman" w:cs="Times New Roman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6EF6" w14:textId="1DB3D6F5" w:rsidR="00647DE8" w:rsidRPr="004F323D" w:rsidRDefault="00647DE8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4F323D">
      <w:rPr>
        <w:rFonts w:ascii="Times New Roman" w:hAnsi="Times New Roman" w:cs="Times New Roman"/>
        <w:sz w:val="24"/>
        <w:szCs w:val="24"/>
      </w:rPr>
      <w:t>6509.2 REV-</w:t>
    </w:r>
    <w:r w:rsidR="00BA149F">
      <w:rPr>
        <w:rFonts w:ascii="Times New Roman" w:hAnsi="Times New Roman" w:cs="Times New Roman"/>
        <w:sz w:val="24"/>
        <w:szCs w:val="24"/>
      </w:rPr>
      <w:t>7</w:t>
    </w:r>
    <w:r>
      <w:rPr>
        <w:rFonts w:ascii="Times New Roman" w:hAnsi="Times New Roman" w:cs="Times New Roman"/>
        <w:sz w:val="24"/>
        <w:szCs w:val="24"/>
      </w:rPr>
      <w:t xml:space="preserve"> CHG-</w:t>
    </w:r>
    <w:r w:rsidR="00AD259D">
      <w:rPr>
        <w:rFonts w:ascii="Times New Roman" w:hAnsi="Times New Roman" w:cs="Times New Roman"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528D8" w14:textId="77777777" w:rsidR="00AD259D" w:rsidRDefault="00AD2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E3400"/>
    <w:multiLevelType w:val="hybridMultilevel"/>
    <w:tmpl w:val="622C9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3F"/>
    <w:rsid w:val="00035C9C"/>
    <w:rsid w:val="00055512"/>
    <w:rsid w:val="00064478"/>
    <w:rsid w:val="00072865"/>
    <w:rsid w:val="000B7C28"/>
    <w:rsid w:val="000C1873"/>
    <w:rsid w:val="000C30B6"/>
    <w:rsid w:val="000F1BE9"/>
    <w:rsid w:val="000F2901"/>
    <w:rsid w:val="001143A5"/>
    <w:rsid w:val="00161507"/>
    <w:rsid w:val="001625DC"/>
    <w:rsid w:val="0017016C"/>
    <w:rsid w:val="0017039F"/>
    <w:rsid w:val="00194718"/>
    <w:rsid w:val="001A1D0C"/>
    <w:rsid w:val="001A6DDA"/>
    <w:rsid w:val="001B199D"/>
    <w:rsid w:val="001D2490"/>
    <w:rsid w:val="001D6A5E"/>
    <w:rsid w:val="001E351B"/>
    <w:rsid w:val="001E4AD6"/>
    <w:rsid w:val="001F31A2"/>
    <w:rsid w:val="001F6D51"/>
    <w:rsid w:val="00203A0E"/>
    <w:rsid w:val="002274C2"/>
    <w:rsid w:val="00240792"/>
    <w:rsid w:val="00250B5F"/>
    <w:rsid w:val="00265996"/>
    <w:rsid w:val="00273F60"/>
    <w:rsid w:val="00285039"/>
    <w:rsid w:val="002916A3"/>
    <w:rsid w:val="002A7481"/>
    <w:rsid w:val="002C692B"/>
    <w:rsid w:val="002D2F5B"/>
    <w:rsid w:val="002E0454"/>
    <w:rsid w:val="002E4C0E"/>
    <w:rsid w:val="003A3889"/>
    <w:rsid w:val="003C035F"/>
    <w:rsid w:val="004103BC"/>
    <w:rsid w:val="00437989"/>
    <w:rsid w:val="0044758D"/>
    <w:rsid w:val="00447979"/>
    <w:rsid w:val="00470F5F"/>
    <w:rsid w:val="004B1456"/>
    <w:rsid w:val="004C3A87"/>
    <w:rsid w:val="004D2F31"/>
    <w:rsid w:val="004E161D"/>
    <w:rsid w:val="004F323D"/>
    <w:rsid w:val="00502D49"/>
    <w:rsid w:val="005362CA"/>
    <w:rsid w:val="00570A06"/>
    <w:rsid w:val="00585766"/>
    <w:rsid w:val="0059285B"/>
    <w:rsid w:val="005A64E9"/>
    <w:rsid w:val="005E7D3B"/>
    <w:rsid w:val="0063440D"/>
    <w:rsid w:val="00641E71"/>
    <w:rsid w:val="00647DE8"/>
    <w:rsid w:val="006532B0"/>
    <w:rsid w:val="00690304"/>
    <w:rsid w:val="00690AB3"/>
    <w:rsid w:val="006A7E2A"/>
    <w:rsid w:val="006E5869"/>
    <w:rsid w:val="006F2CF5"/>
    <w:rsid w:val="006F6237"/>
    <w:rsid w:val="00701ADA"/>
    <w:rsid w:val="00703F82"/>
    <w:rsid w:val="007409BD"/>
    <w:rsid w:val="00750D7B"/>
    <w:rsid w:val="00753DA1"/>
    <w:rsid w:val="007553EC"/>
    <w:rsid w:val="00771D3A"/>
    <w:rsid w:val="007735AF"/>
    <w:rsid w:val="00786485"/>
    <w:rsid w:val="00790767"/>
    <w:rsid w:val="007A5C57"/>
    <w:rsid w:val="007B4AED"/>
    <w:rsid w:val="007D1846"/>
    <w:rsid w:val="0081782A"/>
    <w:rsid w:val="008B4AC2"/>
    <w:rsid w:val="008B5B21"/>
    <w:rsid w:val="008C33A2"/>
    <w:rsid w:val="008C58FA"/>
    <w:rsid w:val="008D58A8"/>
    <w:rsid w:val="009162E1"/>
    <w:rsid w:val="009449F9"/>
    <w:rsid w:val="0097695B"/>
    <w:rsid w:val="009B71FE"/>
    <w:rsid w:val="009D4964"/>
    <w:rsid w:val="009F585D"/>
    <w:rsid w:val="00A2258F"/>
    <w:rsid w:val="00A23B22"/>
    <w:rsid w:val="00A70008"/>
    <w:rsid w:val="00AA21E1"/>
    <w:rsid w:val="00AA758B"/>
    <w:rsid w:val="00AB3E78"/>
    <w:rsid w:val="00AB5822"/>
    <w:rsid w:val="00AB728C"/>
    <w:rsid w:val="00AD259D"/>
    <w:rsid w:val="00AD457A"/>
    <w:rsid w:val="00AE605B"/>
    <w:rsid w:val="00B0290D"/>
    <w:rsid w:val="00B063D3"/>
    <w:rsid w:val="00B23B61"/>
    <w:rsid w:val="00B35BB9"/>
    <w:rsid w:val="00B4531B"/>
    <w:rsid w:val="00B473A3"/>
    <w:rsid w:val="00B53177"/>
    <w:rsid w:val="00B72F61"/>
    <w:rsid w:val="00B92C09"/>
    <w:rsid w:val="00BA149F"/>
    <w:rsid w:val="00BE2A03"/>
    <w:rsid w:val="00C04251"/>
    <w:rsid w:val="00C06655"/>
    <w:rsid w:val="00C07E81"/>
    <w:rsid w:val="00C4204E"/>
    <w:rsid w:val="00C433BA"/>
    <w:rsid w:val="00C44F43"/>
    <w:rsid w:val="00C5640E"/>
    <w:rsid w:val="00C84FDB"/>
    <w:rsid w:val="00C91852"/>
    <w:rsid w:val="00C94AF4"/>
    <w:rsid w:val="00C972EA"/>
    <w:rsid w:val="00CA6590"/>
    <w:rsid w:val="00CD6F69"/>
    <w:rsid w:val="00D12BD2"/>
    <w:rsid w:val="00D45545"/>
    <w:rsid w:val="00D475E9"/>
    <w:rsid w:val="00D62EA7"/>
    <w:rsid w:val="00D6750C"/>
    <w:rsid w:val="00D73EA0"/>
    <w:rsid w:val="00D81936"/>
    <w:rsid w:val="00D85594"/>
    <w:rsid w:val="00D9470C"/>
    <w:rsid w:val="00D95D85"/>
    <w:rsid w:val="00DE1981"/>
    <w:rsid w:val="00E02CA9"/>
    <w:rsid w:val="00E106E6"/>
    <w:rsid w:val="00E1248D"/>
    <w:rsid w:val="00E7469B"/>
    <w:rsid w:val="00E77368"/>
    <w:rsid w:val="00EA4E63"/>
    <w:rsid w:val="00EB1C00"/>
    <w:rsid w:val="00EB209C"/>
    <w:rsid w:val="00EB3C3F"/>
    <w:rsid w:val="00EB7C96"/>
    <w:rsid w:val="00EE2F98"/>
    <w:rsid w:val="00EF1479"/>
    <w:rsid w:val="00EF2D13"/>
    <w:rsid w:val="00EF39EC"/>
    <w:rsid w:val="00F54DCC"/>
    <w:rsid w:val="00F56698"/>
    <w:rsid w:val="00F575A8"/>
    <w:rsid w:val="00F6575E"/>
    <w:rsid w:val="00F66A71"/>
    <w:rsid w:val="00F87797"/>
    <w:rsid w:val="00F926F3"/>
    <w:rsid w:val="00F9383B"/>
    <w:rsid w:val="00F9513B"/>
    <w:rsid w:val="00FA2449"/>
    <w:rsid w:val="00FB418B"/>
    <w:rsid w:val="00FB7994"/>
    <w:rsid w:val="00FE630E"/>
    <w:rsid w:val="00FF1E36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CD6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3C3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vel1">
    <w:name w:val="Level 1"/>
    <w:basedOn w:val="Default"/>
    <w:next w:val="Default"/>
    <w:uiPriority w:val="99"/>
    <w:rsid w:val="00EB3C3F"/>
    <w:rPr>
      <w:color w:val="auto"/>
    </w:rPr>
  </w:style>
  <w:style w:type="paragraph" w:styleId="NormalWeb">
    <w:name w:val="Normal (Web)"/>
    <w:basedOn w:val="Default"/>
    <w:next w:val="Default"/>
    <w:uiPriority w:val="99"/>
    <w:rsid w:val="00EB3C3F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53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5D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25DC"/>
  </w:style>
  <w:style w:type="paragraph" w:styleId="Footer">
    <w:name w:val="footer"/>
    <w:basedOn w:val="Normal"/>
    <w:link w:val="FooterChar"/>
    <w:uiPriority w:val="99"/>
    <w:unhideWhenUsed/>
    <w:rsid w:val="001625D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25DC"/>
  </w:style>
  <w:style w:type="character" w:styleId="PageNumber">
    <w:name w:val="page number"/>
    <w:basedOn w:val="DefaultParagraphFont"/>
    <w:rsid w:val="004F323D"/>
  </w:style>
  <w:style w:type="paragraph" w:styleId="ListParagraph">
    <w:name w:val="List Paragraph"/>
    <w:basedOn w:val="Normal"/>
    <w:uiPriority w:val="34"/>
    <w:qFormat/>
    <w:rsid w:val="004F32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9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9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9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cdbg-dr/cdbg-dr-laws-regulations-and-federal-register-notic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1C99A6C2414995D3D4F2513DF375" ma:contentTypeVersion="8" ma:contentTypeDescription="Create a new document." ma:contentTypeScope="" ma:versionID="b9abe40ad6b5eaf55f7243b0c65f9f0c">
  <xsd:schema xmlns:xsd="http://www.w3.org/2001/XMLSchema" xmlns:xs="http://www.w3.org/2001/XMLSchema" xmlns:p="http://schemas.microsoft.com/office/2006/metadata/properties" xmlns:ns2="3eede0d0-3323-4187-a73b-c8d107a17d95" xmlns:ns3="1edab29b-6fff-4fac-9b48-6627614917be" targetNamespace="http://schemas.microsoft.com/office/2006/metadata/properties" ma:root="true" ma:fieldsID="933300943ce8bf3629a84a1f79db4354" ns2:_="" ns3:_="">
    <xsd:import namespace="3eede0d0-3323-4187-a73b-c8d107a17d95"/>
    <xsd:import namespace="1edab29b-6fff-4fac-9b48-662761491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de0d0-3323-4187-a73b-c8d107a17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4" nillable="true" ma:displayName="Notes" ma:description="This is ready for OGC except for the URA questions 6 and 7. 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ab29b-6fff-4fac-9b48-662761491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eede0d0-3323-4187-a73b-c8d107a17d95" xsi:nil="true"/>
  </documentManagement>
</p:properties>
</file>

<file path=customXml/itemProps1.xml><?xml version="1.0" encoding="utf-8"?>
<ds:datastoreItem xmlns:ds="http://schemas.openxmlformats.org/officeDocument/2006/customXml" ds:itemID="{F92290E1-8927-4C89-8866-277A21607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CE141-8B4E-441C-B806-34F46BDB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de0d0-3323-4187-a73b-c8d107a17d95"/>
    <ds:schemaRef ds:uri="1edab29b-6fff-4fac-9b48-662761491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4EE4C-AD3B-412E-A8EA-AA7CF74ABE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A8BBB-895D-4FFB-A611-6506297072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edab29b-6fff-4fac-9b48-6627614917be"/>
    <ds:schemaRef ds:uri="http://schemas.microsoft.com/office/infopath/2007/PartnerControls"/>
    <ds:schemaRef ds:uri="3eede0d0-3323-4187-a73b-c8d107a17d9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2020-08-21T15:45:00Z</dcterms:created>
  <dcterms:modified xsi:type="dcterms:W3CDTF">2020-11-23T15:29:00Z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0x0101006A501C99A6C2414995D3D4F2513DF375</vt:lpwstr>
  </property>
</Properties>
</file>