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E4164" w:rsidRPr="00DD7176" w14:paraId="0B4D2E06" w14:textId="77777777" w:rsidTr="22CFB2EF">
        <w:tc>
          <w:tcPr>
            <w:tcW w:w="3192" w:type="dxa"/>
            <w:tcBorders>
              <w:top w:val="nil"/>
              <w:left w:val="nil"/>
              <w:bottom w:val="nil"/>
              <w:right w:val="nil"/>
            </w:tcBorders>
          </w:tcPr>
          <w:p w14:paraId="5820AF64" w14:textId="77777777" w:rsidR="008E4164" w:rsidRPr="008D6E41" w:rsidRDefault="008E4164" w:rsidP="007D016D">
            <w:pPr>
              <w:rPr>
                <w:rFonts w:ascii="Helvetica" w:hAnsi="Helvetica" w:cs="Arial"/>
                <w:b/>
              </w:rPr>
            </w:pPr>
            <w:r w:rsidRPr="008D6E41">
              <w:rPr>
                <w:rFonts w:ascii="Helvetica" w:hAnsi="Helvetica" w:cs="Arial"/>
                <w:b/>
              </w:rPr>
              <w:t xml:space="preserve">Master Tenant </w:t>
            </w:r>
            <w:r w:rsidRPr="008E4164">
              <w:rPr>
                <w:rFonts w:ascii="Helvetica" w:hAnsi="Helvetica" w:cs="Arial"/>
                <w:b/>
              </w:rPr>
              <w:t>Assignment of Leases and Rents</w:t>
            </w:r>
          </w:p>
          <w:p w14:paraId="78F571C8"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7B1AF96B"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54DF7023"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1ADDC8B5"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49698100"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6F86AE25"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7F797C05" w14:textId="77777777" w:rsidR="00FA1ABD" w:rsidRDefault="00FA1ABD" w:rsidP="008E4164">
            <w:pPr>
              <w:jc w:val="right"/>
              <w:rPr>
                <w:rFonts w:ascii="Helvetica" w:hAnsi="Helvetica" w:cs="Arial"/>
                <w:sz w:val="18"/>
              </w:rPr>
            </w:pPr>
            <w:r w:rsidRPr="00FA1ABD">
              <w:rPr>
                <w:rFonts w:ascii="Helvetica" w:hAnsi="Helvetica" w:cs="Arial"/>
                <w:sz w:val="18"/>
              </w:rPr>
              <w:t>OMB Approval No. 2502-0605</w:t>
            </w:r>
          </w:p>
          <w:p w14:paraId="0117DB85" w14:textId="6AC6A33E" w:rsidR="008E4164" w:rsidRPr="008D6E41" w:rsidRDefault="00B35740" w:rsidP="22CFB2EF">
            <w:pPr>
              <w:jc w:val="right"/>
              <w:rPr>
                <w:rFonts w:ascii="Helvetica" w:hAnsi="Helvetica" w:cs="Arial"/>
                <w:sz w:val="18"/>
                <w:szCs w:val="18"/>
              </w:rPr>
            </w:pPr>
            <w:r>
              <w:rPr>
                <w:rFonts w:ascii="Helvetica" w:hAnsi="Helvetica" w:cs="Arial"/>
                <w:sz w:val="18"/>
              </w:rPr>
              <w:t>(exp. 01/31/2026)</w:t>
            </w:r>
          </w:p>
        </w:tc>
      </w:tr>
    </w:tbl>
    <w:p w14:paraId="30E98DA8" w14:textId="1B3CE2E4" w:rsidR="006F1A1A" w:rsidRDefault="008E4164" w:rsidP="006F1A1A">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id="0" w:name="_Hlk84231502"/>
      <w:r w:rsidR="006F1A1A">
        <w:rPr>
          <w:rFonts w:ascii="Helvetica" w:hAnsi="Helvetica" w:cs="Arial"/>
          <w:b/>
          <w:bCs/>
          <w:sz w:val="16"/>
          <w:szCs w:val="16"/>
        </w:rPr>
        <w:t>burden</w:t>
      </w:r>
      <w:r w:rsidR="006F1A1A">
        <w:rPr>
          <w:rFonts w:ascii="Helvetica" w:hAnsi="Helvetica" w:cs="Arial"/>
          <w:sz w:val="16"/>
          <w:szCs w:val="16"/>
        </w:rPr>
        <w:t xml:space="preserve"> for this collection of information is estimated to average 1 hour per response, including the time for reviewing instructions, searching existing data sources, </w:t>
      </w:r>
      <w:proofErr w:type="gramStart"/>
      <w:r w:rsidR="006F1A1A">
        <w:rPr>
          <w:rFonts w:ascii="Helvetica" w:hAnsi="Helvetica" w:cs="Arial"/>
          <w:sz w:val="16"/>
          <w:szCs w:val="16"/>
        </w:rPr>
        <w:t>gathering</w:t>
      </w:r>
      <w:proofErr w:type="gramEnd"/>
      <w:r w:rsidR="006F1A1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F1A1A">
        <w:rPr>
          <w:rFonts w:ascii="Helvetica" w:hAnsi="Helvetica" w:cs="Arial"/>
          <w:sz w:val="16"/>
          <w:szCs w:val="16"/>
        </w:rPr>
        <w:t>approval, and</w:t>
      </w:r>
      <w:proofErr w:type="gramEnd"/>
      <w:r w:rsidR="006F1A1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F1A1A">
        <w:rPr>
          <w:rFonts w:ascii="Helvetica" w:hAnsi="Helvetica" w:cs="Arial"/>
          <w:sz w:val="16"/>
          <w:szCs w:val="16"/>
        </w:rPr>
        <w:t>in order to</w:t>
      </w:r>
      <w:proofErr w:type="gramEnd"/>
      <w:r w:rsidR="006F1A1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F1A1A">
        <w:rPr>
          <w:rFonts w:ascii="Helvetica" w:hAnsi="Helvetica" w:cs="Arial"/>
          <w:sz w:val="16"/>
          <w:szCs w:val="16"/>
        </w:rPr>
        <w:t xml:space="preserve">  </w:t>
      </w:r>
    </w:p>
    <w:p w14:paraId="2AEB5235" w14:textId="04F90FF5" w:rsidR="008E4164" w:rsidRPr="00E6346E" w:rsidRDefault="008E4164" w:rsidP="00E6346E">
      <w:pPr>
        <w:jc w:val="both"/>
        <w:rPr>
          <w:rFonts w:ascii="Helvetica" w:hAnsi="Helvetica" w:cs="Helvetica"/>
          <w:sz w:val="16"/>
          <w:szCs w:val="16"/>
        </w:rPr>
      </w:pPr>
    </w:p>
    <w:p w14:paraId="2C85144F" w14:textId="66AFDDC2" w:rsidR="00902335" w:rsidRDefault="008E4164" w:rsidP="00902335">
      <w:r w:rsidRPr="00E6346E">
        <w:rPr>
          <w:rFonts w:ascii="Helvetica" w:hAnsi="Helvetica" w:cs="Helvetica"/>
          <w:b/>
          <w:sz w:val="16"/>
          <w:szCs w:val="16"/>
        </w:rPr>
        <w:t>Warning:</w:t>
      </w:r>
      <w:r w:rsidRPr="00E6346E">
        <w:rPr>
          <w:rFonts w:ascii="Helvetica" w:hAnsi="Helvetica" w:cs="Helvetica"/>
          <w:sz w:val="16"/>
          <w:szCs w:val="16"/>
        </w:rPr>
        <w:t xml:space="preserve"> </w:t>
      </w:r>
      <w:bookmarkStart w:id="1" w:name="_Hlk84231531"/>
      <w:r w:rsidR="0090233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902335">
        <w:t xml:space="preserve"> </w:t>
      </w:r>
    </w:p>
    <w:p w14:paraId="19D42EFF" w14:textId="77777777" w:rsidR="009B7616" w:rsidRDefault="009B7616" w:rsidP="00E6346E">
      <w:pPr>
        <w:jc w:val="both"/>
        <w:rPr>
          <w:szCs w:val="24"/>
        </w:rPr>
      </w:pPr>
    </w:p>
    <w:p w14:paraId="7C1BA085" w14:textId="77777777" w:rsidR="00F50BD1" w:rsidRPr="00FB684D" w:rsidRDefault="00F50BD1" w:rsidP="007A7A6F">
      <w:pPr>
        <w:outlineLvl w:val="0"/>
        <w:rPr>
          <w:szCs w:val="24"/>
        </w:rPr>
      </w:pPr>
      <w:r w:rsidRPr="00FB684D">
        <w:rPr>
          <w:szCs w:val="24"/>
        </w:rPr>
        <w:t>RECORDING REQUESTED BY</w:t>
      </w:r>
      <w:r w:rsidRPr="00FB684D">
        <w:rPr>
          <w:szCs w:val="24"/>
        </w:rPr>
        <w:tab/>
      </w:r>
      <w:r w:rsidRPr="00FB684D">
        <w:rPr>
          <w:szCs w:val="24"/>
        </w:rPr>
        <w:tab/>
      </w:r>
    </w:p>
    <w:p w14:paraId="4AEA197F" w14:textId="77777777" w:rsidR="00F50BD1" w:rsidRPr="00FB684D" w:rsidRDefault="00F50BD1" w:rsidP="007A7A6F">
      <w:pPr>
        <w:rPr>
          <w:szCs w:val="24"/>
        </w:rPr>
      </w:pPr>
      <w:r w:rsidRPr="00FB684D">
        <w:rPr>
          <w:szCs w:val="24"/>
        </w:rPr>
        <w:t>AND WHEN RECORDED RETURN TO:</w:t>
      </w:r>
    </w:p>
    <w:p w14:paraId="11E0F315" w14:textId="77777777" w:rsidR="00F50BD1" w:rsidRPr="00FB684D" w:rsidRDefault="00F50BD1" w:rsidP="007A7A6F">
      <w:pPr>
        <w:rPr>
          <w:szCs w:val="24"/>
        </w:rPr>
      </w:pPr>
    </w:p>
    <w:p w14:paraId="7DDA2D37"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60586D9"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0D131404"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2FF3A77C"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16D0535" w14:textId="77777777" w:rsidR="00F50BD1" w:rsidRPr="00E6346E" w:rsidRDefault="00F50BD1" w:rsidP="007A7A6F">
      <w:pPr>
        <w:rPr>
          <w:szCs w:val="24"/>
        </w:rPr>
      </w:pPr>
    </w:p>
    <w:p w14:paraId="3E6D8ED5" w14:textId="77777777" w:rsidR="009B7616" w:rsidRPr="00E6346E" w:rsidRDefault="009B7616" w:rsidP="007A7A6F">
      <w:pPr>
        <w:ind w:firstLine="720"/>
        <w:rPr>
          <w:color w:val="000000"/>
          <w:szCs w:val="24"/>
        </w:rPr>
      </w:pPr>
      <w:r w:rsidRPr="00E6346E">
        <w:rPr>
          <w:color w:val="000000"/>
          <w:szCs w:val="24"/>
        </w:rPr>
        <w:t xml:space="preserve">This </w:t>
      </w:r>
      <w:r w:rsidR="008E4164" w:rsidRPr="00E6346E">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008E4164" w:rsidRPr="00E6346E">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008E4164" w:rsidRPr="00E6346E">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14:paraId="0C0D4D49" w14:textId="77777777" w:rsidR="009B7616" w:rsidRPr="00E6346E" w:rsidRDefault="009B7616" w:rsidP="007A7A6F">
      <w:pPr>
        <w:rPr>
          <w:color w:val="000000"/>
          <w:szCs w:val="24"/>
        </w:rPr>
      </w:pPr>
    </w:p>
    <w:p w14:paraId="755A9D11" w14:textId="1A96133F" w:rsidR="009B7616" w:rsidRPr="00E6346E" w:rsidRDefault="009B7616" w:rsidP="007A7A6F">
      <w:pPr>
        <w:rPr>
          <w:color w:val="000000"/>
          <w:szCs w:val="24"/>
        </w:rPr>
      </w:pPr>
      <w:r w:rsidRPr="00E6346E">
        <w:rPr>
          <w:color w:val="000000"/>
          <w:szCs w:val="24"/>
        </w:rPr>
        <w:tab/>
      </w:r>
      <w:r w:rsidR="008E4164" w:rsidRPr="00E6346E">
        <w:rPr>
          <w:color w:val="000000"/>
          <w:szCs w:val="24"/>
        </w:rPr>
        <w:t>Master Tenant</w:t>
      </w:r>
      <w:r w:rsidRPr="00E6346E">
        <w:rPr>
          <w:color w:val="000000"/>
          <w:szCs w:val="24"/>
        </w:rPr>
        <w:t xml:space="preserve"> and Lender have entered into that certain </w:t>
      </w:r>
      <w:r w:rsidR="008E4164" w:rsidRPr="00E6346E">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xml:space="preserve">”), authorized to receive mortgage insurance pursuant to Section 232 of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3048942E" w14:textId="77777777" w:rsidR="009B7616" w:rsidRPr="00E6346E" w:rsidRDefault="009B7616" w:rsidP="007A7A6F">
      <w:pPr>
        <w:rPr>
          <w:szCs w:val="24"/>
        </w:rPr>
      </w:pPr>
    </w:p>
    <w:p w14:paraId="6B697E0D" w14:textId="77777777" w:rsidR="009B7616" w:rsidRPr="00E6346E" w:rsidRDefault="009B7616" w:rsidP="007A7A6F">
      <w:pPr>
        <w:numPr>
          <w:ilvl w:val="0"/>
          <w:numId w:val="1"/>
        </w:numPr>
        <w:ind w:left="0" w:firstLine="720"/>
        <w:rPr>
          <w:szCs w:val="24"/>
        </w:rPr>
      </w:pPr>
      <w:r w:rsidRPr="00E6346E">
        <w:rPr>
          <w:szCs w:val="24"/>
        </w:rPr>
        <w:t>Definitions:</w:t>
      </w:r>
    </w:p>
    <w:p w14:paraId="4915B4A7" w14:textId="77777777" w:rsidR="009B7616" w:rsidRPr="00E6346E" w:rsidRDefault="009B7616" w:rsidP="007A7A6F">
      <w:pPr>
        <w:rPr>
          <w:szCs w:val="24"/>
        </w:rPr>
      </w:pPr>
    </w:p>
    <w:p w14:paraId="60C0554A" w14:textId="77777777" w:rsidR="009B7616" w:rsidRPr="00E6346E" w:rsidRDefault="009B7616" w:rsidP="007A7A6F">
      <w:pPr>
        <w:numPr>
          <w:ilvl w:val="1"/>
          <w:numId w:val="1"/>
        </w:numPr>
        <w:ind w:left="0" w:firstLine="1440"/>
        <w:rPr>
          <w:szCs w:val="24"/>
        </w:rPr>
      </w:pPr>
      <w:r w:rsidRPr="00E6346E">
        <w:rPr>
          <w:szCs w:val="24"/>
        </w:rPr>
        <w:lastRenderedPageBreak/>
        <w:t>“</w:t>
      </w:r>
      <w:r w:rsidRPr="00E6346E">
        <w:rPr>
          <w:b/>
          <w:szCs w:val="24"/>
        </w:rPr>
        <w:t>Event of Default</w:t>
      </w:r>
      <w:r w:rsidRPr="00E6346E">
        <w:rPr>
          <w:szCs w:val="24"/>
        </w:rPr>
        <w:t>” shall mean an Event of Default pursuant to the Security Agreement.</w:t>
      </w:r>
    </w:p>
    <w:p w14:paraId="4D94E3EE" w14:textId="77777777" w:rsidR="009B7616" w:rsidRPr="00E6346E" w:rsidRDefault="009B7616" w:rsidP="00E6346E">
      <w:pPr>
        <w:ind w:firstLine="1440"/>
        <w:jc w:val="both"/>
        <w:rPr>
          <w:szCs w:val="24"/>
        </w:rPr>
      </w:pPr>
    </w:p>
    <w:p w14:paraId="63F8F873"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1604F8F" w14:textId="77777777" w:rsidR="009B7616" w:rsidRPr="00E6346E" w:rsidRDefault="009B7616" w:rsidP="007A7A6F">
      <w:pPr>
        <w:ind w:firstLine="1440"/>
        <w:rPr>
          <w:szCs w:val="24"/>
        </w:rPr>
      </w:pPr>
    </w:p>
    <w:p w14:paraId="46D8FD7C"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14:paraId="0D816467" w14:textId="77777777" w:rsidR="009B7616" w:rsidRPr="00E6346E" w:rsidRDefault="009B7616" w:rsidP="007A7A6F">
      <w:pPr>
        <w:ind w:firstLine="1440"/>
        <w:rPr>
          <w:szCs w:val="24"/>
        </w:rPr>
      </w:pPr>
    </w:p>
    <w:p w14:paraId="37F57B8A"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14:paraId="5F9138D8" w14:textId="77777777" w:rsidR="009B7616" w:rsidRPr="00E6346E" w:rsidRDefault="009B7616" w:rsidP="007A7A6F">
      <w:pPr>
        <w:ind w:firstLine="1440"/>
        <w:rPr>
          <w:szCs w:val="24"/>
        </w:rPr>
      </w:pPr>
      <w:r w:rsidRPr="00E6346E">
        <w:rPr>
          <w:szCs w:val="24"/>
        </w:rPr>
        <w:t xml:space="preserve"> </w:t>
      </w:r>
    </w:p>
    <w:p w14:paraId="613E9CE5" w14:textId="6D04E410" w:rsidR="009B7616" w:rsidRPr="00E6346E" w:rsidRDefault="009B7616" w:rsidP="007A7A6F">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 xml:space="preserve">now or hereafter in force, whether oral or written, </w:t>
      </w:r>
      <w:proofErr w:type="gramStart"/>
      <w:r w:rsidRPr="00E6346E">
        <w:rPr>
          <w:szCs w:val="24"/>
        </w:rPr>
        <w:t>covering</w:t>
      </w:r>
      <w:proofErr w:type="gramEnd"/>
      <w:r w:rsidRPr="00E6346E">
        <w:rPr>
          <w:szCs w:val="24"/>
        </w:rPr>
        <w:t xml:space="preserve">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14:paraId="3A15E2A5" w14:textId="77777777" w:rsidR="009B7616" w:rsidRPr="00E6346E" w:rsidRDefault="009B7616" w:rsidP="007A7A6F">
      <w:pPr>
        <w:ind w:firstLine="1440"/>
        <w:rPr>
          <w:szCs w:val="24"/>
        </w:rPr>
      </w:pPr>
    </w:p>
    <w:p w14:paraId="74A4AB88" w14:textId="77777777" w:rsidR="00E6346E" w:rsidRPr="00E6346E" w:rsidRDefault="00E6346E" w:rsidP="007A7A6F">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14:paraId="6C556735" w14:textId="77777777" w:rsidR="00E6346E" w:rsidRDefault="00E6346E" w:rsidP="007A7A6F">
      <w:pPr>
        <w:pStyle w:val="ListParagraph"/>
        <w:rPr>
          <w:color w:val="000000"/>
          <w:szCs w:val="24"/>
        </w:rPr>
      </w:pPr>
    </w:p>
    <w:p w14:paraId="23653E30" w14:textId="77777777" w:rsidR="00E6346E" w:rsidRPr="00E6346E" w:rsidRDefault="00E6346E" w:rsidP="007A7A6F">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14:paraId="7E0F7A7F" w14:textId="77777777" w:rsidR="00E6346E" w:rsidRDefault="00E6346E" w:rsidP="007A7A6F">
      <w:pPr>
        <w:pStyle w:val="ListParagraph"/>
        <w:rPr>
          <w:color w:val="000000"/>
          <w:szCs w:val="24"/>
        </w:rPr>
      </w:pPr>
    </w:p>
    <w:p w14:paraId="32DB49C8" w14:textId="77777777" w:rsidR="009B7616" w:rsidRPr="00E6346E" w:rsidRDefault="009B7616" w:rsidP="007A7A6F">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means any and all Medicaid, Medicare, TRICARE/CHAMPUS, or other governmental insurance provider agreements.</w:t>
      </w:r>
    </w:p>
    <w:p w14:paraId="21AA4A03" w14:textId="77777777" w:rsidR="009B7616" w:rsidRPr="00E6346E" w:rsidRDefault="009B7616" w:rsidP="007A7A6F">
      <w:pPr>
        <w:ind w:firstLine="1440"/>
        <w:rPr>
          <w:szCs w:val="24"/>
        </w:rPr>
      </w:pPr>
      <w:r w:rsidRPr="00E6346E">
        <w:rPr>
          <w:szCs w:val="24"/>
        </w:rPr>
        <w:t xml:space="preserve"> </w:t>
      </w:r>
    </w:p>
    <w:p w14:paraId="1CE60C17"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008E4164" w:rsidRPr="00E6346E">
        <w:rPr>
          <w:color w:val="000000"/>
          <w:szCs w:val="24"/>
        </w:rPr>
        <w:t>Master Tenant</w:t>
      </w:r>
      <w:r w:rsidRPr="00E6346E">
        <w:rPr>
          <w:color w:val="000000"/>
          <w:szCs w:val="24"/>
        </w:rPr>
        <w:t xml:space="preserve"> pursuant to the Leases.</w:t>
      </w:r>
    </w:p>
    <w:p w14:paraId="406A8E45" w14:textId="77777777" w:rsidR="009B7616" w:rsidRPr="00E6346E" w:rsidRDefault="009B7616" w:rsidP="007A7A6F">
      <w:pPr>
        <w:ind w:firstLine="1440"/>
        <w:rPr>
          <w:szCs w:val="24"/>
        </w:rPr>
      </w:pPr>
    </w:p>
    <w:p w14:paraId="52E0C495" w14:textId="77777777" w:rsidR="009B7616" w:rsidRDefault="009B7616" w:rsidP="007A7A6F">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entered into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14:paraId="13E267F7" w14:textId="77777777" w:rsidR="00E6346E" w:rsidRDefault="00E6346E" w:rsidP="007A7A6F">
      <w:pPr>
        <w:pStyle w:val="ListParagraph"/>
        <w:rPr>
          <w:szCs w:val="24"/>
        </w:rPr>
      </w:pPr>
    </w:p>
    <w:p w14:paraId="6FBB2E6B" w14:textId="77777777" w:rsidR="00E6346E" w:rsidRPr="00E6346E" w:rsidRDefault="00E6346E" w:rsidP="007A7A6F">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14:paraId="7AF0A7D8" w14:textId="77777777" w:rsidR="009B7616" w:rsidRPr="00E6346E" w:rsidRDefault="009B7616" w:rsidP="007A7A6F">
      <w:pPr>
        <w:rPr>
          <w:szCs w:val="24"/>
        </w:rPr>
      </w:pPr>
    </w:p>
    <w:p w14:paraId="7D63F5BD" w14:textId="77777777" w:rsidR="009B7616" w:rsidRPr="00E6346E" w:rsidRDefault="009B7616" w:rsidP="007A7A6F">
      <w:pPr>
        <w:rPr>
          <w:b/>
          <w:szCs w:val="24"/>
        </w:rPr>
      </w:pPr>
      <w:r w:rsidRPr="00E6346E">
        <w:rPr>
          <w:b/>
          <w:szCs w:val="24"/>
        </w:rPr>
        <w:t>[</w:t>
      </w:r>
      <w:r w:rsidRPr="00E6346E">
        <w:rPr>
          <w:b/>
          <w:i/>
          <w:szCs w:val="24"/>
        </w:rPr>
        <w:t>Include any other necessary definitions.</w:t>
      </w:r>
      <w:r w:rsidRPr="00E6346E">
        <w:rPr>
          <w:b/>
          <w:szCs w:val="24"/>
        </w:rPr>
        <w:t>]</w:t>
      </w:r>
    </w:p>
    <w:p w14:paraId="7ED73FA1" w14:textId="77777777" w:rsidR="009B7616" w:rsidRPr="00E6346E" w:rsidRDefault="009B7616" w:rsidP="007A7A6F">
      <w:pPr>
        <w:rPr>
          <w:b/>
          <w:szCs w:val="24"/>
        </w:rPr>
      </w:pPr>
    </w:p>
    <w:p w14:paraId="22B0F9F4" w14:textId="77777777" w:rsidR="009B7616" w:rsidRPr="00E6346E" w:rsidRDefault="009B7616" w:rsidP="007A7A6F">
      <w:pPr>
        <w:widowControl w:val="0"/>
        <w:numPr>
          <w:ilvl w:val="0"/>
          <w:numId w:val="1"/>
        </w:numPr>
        <w:kinsoku w:val="0"/>
        <w:ind w:left="0" w:right="72" w:firstLine="720"/>
        <w:rPr>
          <w:szCs w:val="24"/>
        </w:rPr>
      </w:pPr>
      <w:r w:rsidRPr="00E6346E">
        <w:rPr>
          <w:szCs w:val="24"/>
        </w:rPr>
        <w:t>Provisions:</w:t>
      </w:r>
    </w:p>
    <w:p w14:paraId="7A71BFDB" w14:textId="77777777" w:rsidR="009B7616" w:rsidRPr="00E6346E" w:rsidRDefault="009B7616" w:rsidP="007A7A6F">
      <w:pPr>
        <w:widowControl w:val="0"/>
        <w:kinsoku w:val="0"/>
        <w:ind w:right="72"/>
        <w:rPr>
          <w:szCs w:val="24"/>
        </w:rPr>
      </w:pPr>
    </w:p>
    <w:p w14:paraId="78DA39EE" w14:textId="77777777" w:rsidR="009B7616" w:rsidRPr="00E6346E" w:rsidRDefault="009B7616" w:rsidP="007A7A6F">
      <w:pPr>
        <w:widowControl w:val="0"/>
        <w:numPr>
          <w:ilvl w:val="5"/>
          <w:numId w:val="3"/>
        </w:numPr>
        <w:kinsoku w:val="0"/>
        <w:ind w:left="0" w:right="72" w:firstLine="720"/>
        <w:rPr>
          <w:szCs w:val="24"/>
        </w:rPr>
      </w:pPr>
      <w:r w:rsidRPr="00E6346E">
        <w:rPr>
          <w:szCs w:val="24"/>
        </w:rPr>
        <w:lastRenderedPageBreak/>
        <w:t xml:space="preserve">Any provisions of this Agreement shall be granted </w:t>
      </w:r>
      <w:r w:rsidRPr="00E6346E">
        <w:rPr>
          <w:color w:val="000000"/>
          <w:szCs w:val="24"/>
        </w:rPr>
        <w:t>to the fullest extent permitted by and not in violation of any applicable law (now enacted and/or hereafter amended) and any Provider Agreements.</w:t>
      </w:r>
    </w:p>
    <w:p w14:paraId="66ED4596" w14:textId="77777777" w:rsidR="009B7616" w:rsidRPr="00E6346E" w:rsidRDefault="009B7616" w:rsidP="007A7A6F">
      <w:pPr>
        <w:widowControl w:val="0"/>
        <w:kinsoku w:val="0"/>
        <w:ind w:right="72"/>
        <w:rPr>
          <w:szCs w:val="24"/>
        </w:rPr>
      </w:pPr>
    </w:p>
    <w:p w14:paraId="37937B83" w14:textId="77777777" w:rsidR="009B7616" w:rsidRPr="00E6346E" w:rsidRDefault="00E6346E" w:rsidP="007A7A6F">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w:t>
      </w:r>
      <w:proofErr w:type="gramStart"/>
      <w:r w:rsidRPr="008D6E41">
        <w:t>title</w:t>
      </w:r>
      <w:proofErr w:type="gramEnd"/>
      <w:r w:rsidRPr="008D6E41">
        <w:t xml:space="preserv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14:paraId="2FF61946" w14:textId="77777777" w:rsidR="009B7616" w:rsidRPr="00E6346E" w:rsidRDefault="009B7616" w:rsidP="007A7A6F">
      <w:pPr>
        <w:pStyle w:val="ListParagraph"/>
        <w:rPr>
          <w:rFonts w:ascii="Times New Roman" w:hAnsi="Times New Roman"/>
          <w:sz w:val="24"/>
          <w:szCs w:val="24"/>
        </w:rPr>
      </w:pPr>
    </w:p>
    <w:p w14:paraId="0F344D40" w14:textId="77777777" w:rsidR="009B7616" w:rsidRPr="00E6346E" w:rsidRDefault="008E4164" w:rsidP="007A7A6F">
      <w:pPr>
        <w:widowControl w:val="0"/>
        <w:numPr>
          <w:ilvl w:val="5"/>
          <w:numId w:val="3"/>
        </w:numPr>
        <w:kinsoku w:val="0"/>
        <w:ind w:left="0" w:right="72" w:firstLine="720"/>
        <w:rPr>
          <w:szCs w:val="24"/>
        </w:rPr>
      </w:pPr>
      <w:r w:rsidRPr="00E6346E">
        <w:rPr>
          <w:szCs w:val="24"/>
        </w:rPr>
        <w:t>Master Tenant</w:t>
      </w:r>
      <w:r w:rsidR="009B7616" w:rsidRPr="00E6346E">
        <w:rPr>
          <w:szCs w:val="24"/>
        </w:rPr>
        <w:t xml:space="preserve"> absolutely and unconditionally assigns and transfers to Secured Party all of </w:t>
      </w:r>
      <w:r w:rsidRPr="00E6346E">
        <w:rPr>
          <w:szCs w:val="24"/>
        </w:rPr>
        <w:t>Master Tenant</w:t>
      </w:r>
      <w:r w:rsidR="009B7616" w:rsidRPr="00E6346E">
        <w:rPr>
          <w:szCs w:val="24"/>
        </w:rPr>
        <w:t xml:space="preserve">’s rights, </w:t>
      </w:r>
      <w:proofErr w:type="gramStart"/>
      <w:r w:rsidR="009B7616" w:rsidRPr="00E6346E">
        <w:rPr>
          <w:szCs w:val="24"/>
        </w:rPr>
        <w:t>title</w:t>
      </w:r>
      <w:proofErr w:type="gramEnd"/>
      <w:r w:rsidR="009B7616" w:rsidRPr="00E6346E">
        <w:rPr>
          <w:szCs w:val="24"/>
        </w:rPr>
        <w:t xml:space="preserve"> and interest in and to the Rents.  </w:t>
      </w:r>
      <w:r w:rsidR="004134B2" w:rsidRPr="008D6E41">
        <w:t xml:space="preserve">It is the intention of Master Tenant to establish a present, </w:t>
      </w:r>
      <w:proofErr w:type="gramStart"/>
      <w:r w:rsidR="004134B2" w:rsidRPr="008D6E41">
        <w:t>absolute</w:t>
      </w:r>
      <w:proofErr w:type="gramEnd"/>
      <w:r w:rsidR="004134B2" w:rsidRPr="008D6E41">
        <w:t xml:space="preserv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004134B2" w:rsidRPr="00A736B6">
        <w:rPr>
          <w:szCs w:val="24"/>
        </w:rPr>
        <w:t xml:space="preserve">For purposes of this absolute assignment, the term “Rents” shall not be deemed to include Government Payments to the extent and for so long as assignment of such payments or receivables is prohibited by applicable law.  </w:t>
      </w:r>
      <w:r w:rsidR="004134B2" w:rsidRPr="008D6E41">
        <w:t xml:space="preserve">For purposes of giving effect to this absolute assignment of the Rents, and for no other purpose, the Rents shall not be deemed to be a part of the collateral otherwise described in </w:t>
      </w:r>
      <w:r w:rsidR="00CD257B">
        <w:t xml:space="preserve">the Security </w:t>
      </w:r>
      <w:r w:rsidR="004134B2" w:rsidRPr="008D6E41">
        <w:t xml:space="preserve">Agreement.  However, if this present, absolute and unconditional assignment of the Rents is not enforceable by its terms under the laws of the applicable jurisdictions, then the Rents </w:t>
      </w:r>
      <w:r w:rsidR="004134B2" w:rsidRPr="00A736B6">
        <w:rPr>
          <w:szCs w:val="24"/>
        </w:rPr>
        <w:t>(including the Government Payments to the maximum extent now or hereafter permitted by applicable law)</w:t>
      </w:r>
      <w:r w:rsidR="004134B2">
        <w:t xml:space="preserve"> </w:t>
      </w:r>
      <w:r w:rsidR="004134B2" w:rsidRPr="008D6E41">
        <w:t xml:space="preserve">shall be included as a part of the </w:t>
      </w:r>
      <w:r w:rsidR="004134B2">
        <w:t>C</w:t>
      </w:r>
      <w:r w:rsidR="004134B2" w:rsidRPr="008D6E41">
        <w:t>ollateral and it is the intention of Master Tenant that in this circumstance this Agreement create and perfect a lien on the Rents in favor of Secured Party, which lien shall be effective as of the date of this Agreement</w:t>
      </w:r>
      <w:r w:rsidR="004134B2">
        <w:t>.</w:t>
      </w:r>
      <w:r w:rsidR="004134B2" w:rsidRPr="008D6E41">
        <w:t xml:space="preserve"> </w:t>
      </w:r>
      <w:r w:rsidR="004134B2">
        <w:t xml:space="preserve"> P</w:t>
      </w:r>
      <w:r w:rsidR="004134B2" w:rsidRPr="008D6E41">
        <w:t xml:space="preserve">rovided, however, to the extent Master Tenant may have granted an assignment or security interest to Secured Party in any of the Other Subleases in connection with any of the Other FHA-insured Loans </w:t>
      </w:r>
      <w:r w:rsidR="004134B2">
        <w:t>(</w:t>
      </w:r>
      <w:r w:rsidR="004134B2" w:rsidRPr="00A736B6">
        <w:rPr>
          <w:szCs w:val="24"/>
        </w:rPr>
        <w:t>to the fullest extent permitted by applicable law with respect to the Healthcare Assets</w:t>
      </w:r>
      <w:r w:rsidR="004134B2">
        <w:rPr>
          <w:szCs w:val="24"/>
        </w:rPr>
        <w:t>),</w:t>
      </w:r>
      <w:r w:rsidR="004134B2" w:rsidRPr="008D6E41">
        <w:t xml:space="preserve"> nothing in this Agreement is intended to nullify, void, amend, modify, delay the effectiveness, </w:t>
      </w:r>
      <w:r w:rsidR="004134B2">
        <w:t>a</w:t>
      </w:r>
      <w:r w:rsidR="004134B2" w:rsidRPr="008D6E41">
        <w:t xml:space="preserve">ffect the priority, or otherwise </w:t>
      </w:r>
      <w:r w:rsidR="004134B2">
        <w:t>a</w:t>
      </w:r>
      <w:r w:rsidR="004134B2" w:rsidRPr="008D6E41">
        <w:t>ffect any such assignment or grant of security interest.</w:t>
      </w:r>
    </w:p>
    <w:p w14:paraId="64845A47" w14:textId="77777777" w:rsidR="009B7616" w:rsidRPr="00E6346E" w:rsidRDefault="009B7616" w:rsidP="007A7A6F">
      <w:pPr>
        <w:widowControl w:val="0"/>
        <w:kinsoku w:val="0"/>
        <w:ind w:right="72"/>
        <w:rPr>
          <w:szCs w:val="24"/>
        </w:rPr>
      </w:pPr>
    </w:p>
    <w:p w14:paraId="44884151" w14:textId="77777777" w:rsidR="009B7616" w:rsidRPr="00E6346E" w:rsidRDefault="004134B2" w:rsidP="007A7A6F">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 xml:space="preserve">Master Tenant shall have the right, </w:t>
      </w:r>
      <w:proofErr w:type="gramStart"/>
      <w:r w:rsidRPr="00797625">
        <w:rPr>
          <w:szCs w:val="24"/>
        </w:rPr>
        <w:t>power</w:t>
      </w:r>
      <w:proofErr w:type="gramEnd"/>
      <w:r w:rsidRPr="00797625">
        <w:rPr>
          <w:szCs w:val="24"/>
        </w:rPr>
        <w:t xml:space="preserve">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xml:space="preserve">.  Upon the occurrence and continuance of an Event of Default and notice by the Secured Party, subject to applicable law with respect to Government Payments and Accounts, the permission given to Master Tenant pursuant to the preceding sentence to exercise its rights, power and authority under Leases shall terminate and Secured Party may exercise its rights, power and authority under the Leases, in whole or in part, as specified by Secured Party in its notice (subject to Secured Party taking such </w:t>
      </w:r>
      <w:r w:rsidRPr="00797625">
        <w:rPr>
          <w:szCs w:val="24"/>
        </w:rPr>
        <w:lastRenderedPageBreak/>
        <w:t>enforcement action as may be required by applicable law as a condition for enforcement of an assignment of rents or leases).  Master Tenant agrees to comply with and observe Master Tenant's obligations under all Leases, including Master Tenant's obligations, if any, pertaining to the maintenance and disposition of security deposits, both before and after any such termination of the Master Tenant’s rights.</w:t>
      </w:r>
    </w:p>
    <w:p w14:paraId="3A3E8D01" w14:textId="77777777" w:rsidR="009B7616" w:rsidRPr="00E6346E" w:rsidRDefault="009B7616" w:rsidP="007A7A6F">
      <w:pPr>
        <w:widowControl w:val="0"/>
        <w:kinsoku w:val="0"/>
        <w:ind w:right="72"/>
        <w:rPr>
          <w:szCs w:val="24"/>
        </w:rPr>
      </w:pPr>
    </w:p>
    <w:p w14:paraId="0CB42B45" w14:textId="77777777" w:rsidR="009B7616" w:rsidRPr="00E6346E" w:rsidRDefault="004134B2" w:rsidP="007A7A6F">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w:t>
      </w:r>
      <w:proofErr w:type="gramStart"/>
      <w:r w:rsidRPr="008D6E41">
        <w:t>entered into</w:t>
      </w:r>
      <w:proofErr w:type="gramEnd"/>
      <w:r w:rsidRPr="008D6E41">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8D6E41">
        <w:t>firm</w:t>
      </w:r>
      <w:proofErr w:type="gramEnd"/>
      <w:r w:rsidRPr="008D6E41">
        <w:t xml:space="preserve">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w:t>
      </w:r>
      <w:proofErr w:type="gramStart"/>
      <w:r w:rsidRPr="008D6E41">
        <w:t>management</w:t>
      </w:r>
      <w:proofErr w:type="gramEnd"/>
      <w:r w:rsidRPr="008D6E41">
        <w:t xml:space="preserve"> and repair of the Healthcare Facility is and shall be that of Master Tenant, prior to such actual entry and taking of possession.</w:t>
      </w:r>
    </w:p>
    <w:p w14:paraId="76ECA99D" w14:textId="77777777" w:rsidR="009B7616" w:rsidRPr="00E6346E" w:rsidRDefault="009B7616" w:rsidP="007A7A6F">
      <w:pPr>
        <w:widowControl w:val="0"/>
        <w:kinsoku w:val="0"/>
        <w:ind w:right="72"/>
        <w:rPr>
          <w:szCs w:val="24"/>
        </w:rPr>
      </w:pPr>
    </w:p>
    <w:p w14:paraId="7033EB09" w14:textId="77777777" w:rsidR="009B7616" w:rsidRPr="00E6346E" w:rsidRDefault="004134B2" w:rsidP="007A7A6F">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14:paraId="12CCB3FB" w14:textId="77777777" w:rsidR="009B7616" w:rsidRPr="00E6346E" w:rsidRDefault="009B7616" w:rsidP="007A7A6F">
      <w:pPr>
        <w:pStyle w:val="ListParagraph"/>
        <w:ind w:left="0"/>
        <w:rPr>
          <w:rFonts w:ascii="Times New Roman" w:hAnsi="Times New Roman"/>
          <w:sz w:val="24"/>
          <w:szCs w:val="24"/>
        </w:rPr>
      </w:pPr>
    </w:p>
    <w:p w14:paraId="52215376" w14:textId="77777777" w:rsidR="009B7616" w:rsidRPr="00E6346E" w:rsidRDefault="009B7616" w:rsidP="007A7A6F">
      <w:pPr>
        <w:widowControl w:val="0"/>
        <w:numPr>
          <w:ilvl w:val="5"/>
          <w:numId w:val="3"/>
        </w:numPr>
        <w:kinsoku w:val="0"/>
        <w:ind w:left="0" w:right="72" w:firstLine="720"/>
        <w:rPr>
          <w:szCs w:val="24"/>
        </w:rPr>
      </w:pPr>
      <w:r w:rsidRPr="00E6346E">
        <w:rPr>
          <w:szCs w:val="24"/>
        </w:rPr>
        <w:t>This document may be executed in counterparts.</w:t>
      </w:r>
    </w:p>
    <w:p w14:paraId="638BC74F" w14:textId="77777777" w:rsidR="009B7616" w:rsidRPr="00E6346E" w:rsidRDefault="009B7616" w:rsidP="007A7A6F">
      <w:pPr>
        <w:widowControl w:val="0"/>
        <w:kinsoku w:val="0"/>
        <w:ind w:right="72"/>
        <w:rPr>
          <w:szCs w:val="24"/>
        </w:rPr>
      </w:pPr>
    </w:p>
    <w:p w14:paraId="0469FBB1" w14:textId="77777777" w:rsidR="009B7616" w:rsidRDefault="009B7616" w:rsidP="007A7A6F">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14:paraId="70E96E8B" w14:textId="77777777" w:rsidR="009B7616" w:rsidRDefault="009B7616" w:rsidP="007A7A6F">
      <w:pPr>
        <w:widowControl w:val="0"/>
        <w:kinsoku w:val="0"/>
        <w:ind w:left="720" w:right="72"/>
      </w:pPr>
    </w:p>
    <w:p w14:paraId="4642C202" w14:textId="77777777" w:rsidR="009B7616" w:rsidRDefault="009B7616" w:rsidP="007A7A6F">
      <w:pPr>
        <w:widowControl w:val="0"/>
        <w:kinsoku w:val="0"/>
        <w:ind w:right="72"/>
        <w:rPr>
          <w:b/>
        </w:rPr>
      </w:pPr>
      <w:r w:rsidRPr="00826974">
        <w:rPr>
          <w:b/>
        </w:rPr>
        <w:t>[</w:t>
      </w:r>
      <w:r w:rsidRPr="00826974">
        <w:rPr>
          <w:b/>
          <w:i/>
        </w:rPr>
        <w:t>Insert appropriate signature blocks.</w:t>
      </w:r>
      <w:r w:rsidRPr="00826974">
        <w:rPr>
          <w:b/>
        </w:rPr>
        <w:t>]</w:t>
      </w:r>
    </w:p>
    <w:p w14:paraId="0A1995C8"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1293BEF9" w14:textId="77777777" w:rsidR="004134B2" w:rsidRDefault="004134B2">
      <w:pPr>
        <w:spacing w:after="240"/>
        <w:rPr>
          <w:highlight w:val="lightGray"/>
        </w:rPr>
      </w:pPr>
      <w:r>
        <w:rPr>
          <w:highlight w:val="lightGray"/>
        </w:rPr>
        <w:br w:type="page"/>
      </w:r>
    </w:p>
    <w:p w14:paraId="49121B77" w14:textId="77777777" w:rsidR="004134B2" w:rsidRPr="008D6E41" w:rsidRDefault="004134B2" w:rsidP="007A7A6F">
      <w:pPr>
        <w:keepNext/>
        <w:jc w:val="both"/>
        <w:rPr>
          <w:color w:val="000000"/>
        </w:rPr>
      </w:pPr>
      <w:r w:rsidRPr="008D6E41">
        <w:rPr>
          <w:b/>
          <w:color w:val="000000"/>
        </w:rPr>
        <w:lastRenderedPageBreak/>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14:paraId="56B4893C" w14:textId="746176DC" w:rsidR="004134B2" w:rsidRDefault="004134B2" w:rsidP="007A7A6F">
      <w:pPr>
        <w:keepNext/>
        <w:tabs>
          <w:tab w:val="left" w:pos="4320"/>
          <w:tab w:val="right" w:pos="8640"/>
        </w:tabs>
        <w:jc w:val="both"/>
        <w:rPr>
          <w:b/>
          <w:color w:val="000000"/>
        </w:rPr>
      </w:pPr>
      <w:r w:rsidRPr="008D6E41">
        <w:rPr>
          <w:b/>
          <w:color w:val="000000"/>
        </w:rPr>
        <w:tab/>
      </w:r>
    </w:p>
    <w:p w14:paraId="5A19CBDC" w14:textId="77777777" w:rsidR="007A7A6F" w:rsidRPr="008D6E41" w:rsidRDefault="007A7A6F" w:rsidP="007A7A6F">
      <w:pPr>
        <w:keepNext/>
        <w:tabs>
          <w:tab w:val="left" w:pos="4320"/>
          <w:tab w:val="right" w:pos="8640"/>
        </w:tabs>
        <w:jc w:val="both"/>
        <w:rPr>
          <w:b/>
          <w:color w:val="000000"/>
        </w:rPr>
      </w:pPr>
    </w:p>
    <w:p w14:paraId="670196F0" w14:textId="77777777" w:rsidR="004134B2" w:rsidRPr="008D6E41" w:rsidRDefault="004134B2" w:rsidP="007A7A6F">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14:paraId="430874B7" w14:textId="77777777" w:rsidR="004134B2" w:rsidRPr="008D6E41" w:rsidRDefault="004134B2" w:rsidP="007A7A6F">
      <w:pPr>
        <w:keepNext/>
        <w:tabs>
          <w:tab w:val="left" w:pos="4320"/>
          <w:tab w:val="right" w:pos="8640"/>
        </w:tabs>
        <w:jc w:val="both"/>
        <w:rPr>
          <w:color w:val="000000"/>
        </w:rPr>
      </w:pPr>
    </w:p>
    <w:p w14:paraId="3672702A" w14:textId="77777777" w:rsidR="004134B2" w:rsidRPr="008D6E41" w:rsidRDefault="004134B2" w:rsidP="007A7A6F">
      <w:pPr>
        <w:keepNext/>
        <w:tabs>
          <w:tab w:val="left" w:pos="4320"/>
          <w:tab w:val="right" w:pos="8640"/>
        </w:tabs>
        <w:ind w:left="4320"/>
        <w:rPr>
          <w:color w:val="000000"/>
        </w:rPr>
      </w:pPr>
      <w:r w:rsidRPr="008D6E41">
        <w:rPr>
          <w:b/>
          <w:color w:val="000000"/>
        </w:rPr>
        <w:t>_______________________________________</w:t>
      </w:r>
    </w:p>
    <w:p w14:paraId="5F45D35F" w14:textId="77777777" w:rsidR="004134B2" w:rsidRPr="008D6E41" w:rsidRDefault="004134B2" w:rsidP="007A7A6F">
      <w:pPr>
        <w:keepNext/>
        <w:tabs>
          <w:tab w:val="left" w:pos="4320"/>
          <w:tab w:val="right" w:pos="8640"/>
        </w:tabs>
        <w:jc w:val="both"/>
        <w:rPr>
          <w:color w:val="000000"/>
        </w:rPr>
      </w:pPr>
    </w:p>
    <w:p w14:paraId="14CAD4BB" w14:textId="77777777" w:rsidR="004134B2" w:rsidRPr="008D6E41" w:rsidRDefault="004134B2" w:rsidP="007A7A6F">
      <w:pPr>
        <w:keepNext/>
        <w:tabs>
          <w:tab w:val="left" w:pos="4320"/>
          <w:tab w:val="right" w:pos="8640"/>
        </w:tabs>
        <w:jc w:val="both"/>
        <w:rPr>
          <w:color w:val="000000"/>
        </w:rPr>
      </w:pPr>
    </w:p>
    <w:p w14:paraId="444FCF04" w14:textId="77777777" w:rsidR="004134B2" w:rsidRPr="008D6E41" w:rsidRDefault="004134B2" w:rsidP="007A7A6F">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14:paraId="44C5B86D" w14:textId="77777777" w:rsidR="004134B2" w:rsidRPr="008D6E41" w:rsidRDefault="004134B2" w:rsidP="007A7A6F">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7040FD9E" w14:textId="77777777" w:rsidR="004134B2" w:rsidRPr="008D6E41" w:rsidRDefault="004134B2" w:rsidP="007A7A6F">
      <w:pPr>
        <w:keepNext/>
        <w:tabs>
          <w:tab w:val="left" w:pos="4320"/>
          <w:tab w:val="right" w:pos="8640"/>
        </w:tabs>
        <w:jc w:val="both"/>
        <w:rPr>
          <w:color w:val="000000"/>
        </w:rPr>
      </w:pPr>
      <w:r w:rsidRPr="008D6E41">
        <w:rPr>
          <w:color w:val="000000"/>
        </w:rPr>
        <w:tab/>
        <w:t xml:space="preserve">Title: __________________________________   </w:t>
      </w:r>
    </w:p>
    <w:p w14:paraId="084E964E" w14:textId="77777777" w:rsidR="004134B2" w:rsidRPr="008D6E41" w:rsidRDefault="004134B2" w:rsidP="004134B2">
      <w:pPr>
        <w:keepNext/>
        <w:tabs>
          <w:tab w:val="left" w:pos="4320"/>
          <w:tab w:val="right" w:pos="8640"/>
        </w:tabs>
        <w:jc w:val="both"/>
        <w:rPr>
          <w:color w:val="000000"/>
        </w:rPr>
      </w:pPr>
    </w:p>
    <w:p w14:paraId="49E8E436"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687B61A" w14:textId="77777777" w:rsidR="004134B2" w:rsidRPr="008D6E41" w:rsidRDefault="004134B2" w:rsidP="004134B2">
      <w:pPr>
        <w:keepNext/>
        <w:tabs>
          <w:tab w:val="left" w:pos="4320"/>
          <w:tab w:val="right" w:pos="8640"/>
        </w:tabs>
        <w:jc w:val="both"/>
        <w:rPr>
          <w:color w:val="000000"/>
        </w:rPr>
      </w:pPr>
      <w:r w:rsidRPr="008D6E41">
        <w:rPr>
          <w:color w:val="000000"/>
        </w:rPr>
        <w:tab/>
      </w:r>
    </w:p>
    <w:p w14:paraId="1F61A5B1" w14:textId="77777777" w:rsidR="004134B2" w:rsidRPr="008D6E41" w:rsidRDefault="004134B2" w:rsidP="004134B2">
      <w:pPr>
        <w:keepNext/>
        <w:tabs>
          <w:tab w:val="left" w:pos="4320"/>
          <w:tab w:val="right" w:pos="8640"/>
        </w:tabs>
        <w:jc w:val="both"/>
        <w:rPr>
          <w:color w:val="000000"/>
        </w:rPr>
      </w:pPr>
    </w:p>
    <w:p w14:paraId="001E2B28" w14:textId="77777777" w:rsidR="00B74E7D" w:rsidRDefault="004134B2" w:rsidP="004134B2">
      <w:pPr>
        <w:keepNext/>
        <w:tabs>
          <w:tab w:val="left" w:pos="4320"/>
          <w:tab w:val="right" w:pos="8640"/>
        </w:tabs>
        <w:jc w:val="both"/>
        <w:rPr>
          <w:b/>
          <w:color w:val="000000"/>
        </w:rPr>
      </w:pPr>
      <w:r w:rsidRPr="008D6E41">
        <w:rPr>
          <w:b/>
          <w:color w:val="000000"/>
        </w:rPr>
        <w:tab/>
      </w:r>
    </w:p>
    <w:p w14:paraId="206A4552" w14:textId="77777777" w:rsidR="00B74E7D" w:rsidRDefault="00B74E7D">
      <w:pPr>
        <w:spacing w:after="240"/>
        <w:rPr>
          <w:b/>
          <w:color w:val="000000"/>
        </w:rPr>
      </w:pPr>
      <w:r>
        <w:rPr>
          <w:b/>
          <w:color w:val="000000"/>
        </w:rPr>
        <w:br w:type="page"/>
      </w:r>
    </w:p>
    <w:p w14:paraId="27F21F94" w14:textId="77777777" w:rsidR="00B74E7D" w:rsidRDefault="00B74E7D" w:rsidP="004134B2">
      <w:pPr>
        <w:keepNext/>
        <w:tabs>
          <w:tab w:val="left" w:pos="4320"/>
          <w:tab w:val="right" w:pos="8640"/>
        </w:tabs>
        <w:jc w:val="both"/>
        <w:rPr>
          <w:b/>
          <w:color w:val="000000"/>
        </w:rPr>
      </w:pPr>
      <w:r>
        <w:rPr>
          <w:b/>
          <w:color w:val="000000"/>
        </w:rPr>
        <w:lastRenderedPageBreak/>
        <w:tab/>
      </w:r>
    </w:p>
    <w:p w14:paraId="0EB228E4"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63D7682D" w14:textId="77777777" w:rsidR="004134B2" w:rsidRPr="008D6E41" w:rsidRDefault="004134B2" w:rsidP="004134B2">
      <w:pPr>
        <w:keepNext/>
        <w:tabs>
          <w:tab w:val="left" w:pos="4320"/>
          <w:tab w:val="right" w:pos="8640"/>
        </w:tabs>
        <w:jc w:val="both"/>
        <w:rPr>
          <w:color w:val="000000"/>
        </w:rPr>
      </w:pPr>
    </w:p>
    <w:p w14:paraId="59C46CC6"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5F8DCD62"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5E0D0031" w14:textId="77777777" w:rsidR="004134B2" w:rsidRPr="008D6E41" w:rsidRDefault="004134B2" w:rsidP="004134B2">
      <w:pPr>
        <w:keepNext/>
        <w:tabs>
          <w:tab w:val="left" w:pos="4320"/>
          <w:tab w:val="right" w:pos="8640"/>
        </w:tabs>
        <w:jc w:val="both"/>
        <w:rPr>
          <w:color w:val="000000"/>
        </w:rPr>
      </w:pPr>
    </w:p>
    <w:p w14:paraId="33CD3E9A"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63E77BE0"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428829B9"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7CB586E1" w14:textId="77777777" w:rsidR="004134B2" w:rsidRDefault="004134B2">
      <w:pPr>
        <w:spacing w:after="240"/>
      </w:pPr>
      <w:r>
        <w:br w:type="page"/>
      </w:r>
    </w:p>
    <w:p w14:paraId="5B045C6C" w14:textId="77777777" w:rsidR="004134B2" w:rsidRPr="008D6E41" w:rsidRDefault="004134B2" w:rsidP="004134B2">
      <w:pPr>
        <w:jc w:val="center"/>
        <w:rPr>
          <w:color w:val="000000"/>
        </w:rPr>
      </w:pPr>
      <w:r>
        <w:rPr>
          <w:b/>
          <w:color w:val="000000"/>
          <w:u w:val="single"/>
        </w:rPr>
        <w:lastRenderedPageBreak/>
        <w:t>EXHIBIT A</w:t>
      </w:r>
    </w:p>
    <w:p w14:paraId="515A90A5" w14:textId="77777777" w:rsidR="004134B2" w:rsidRPr="008D6E41" w:rsidRDefault="004134B2" w:rsidP="004134B2">
      <w:pPr>
        <w:jc w:val="center"/>
        <w:rPr>
          <w:color w:val="000000"/>
        </w:rPr>
      </w:pPr>
    </w:p>
    <w:p w14:paraId="1A6BFBFC" w14:textId="77777777" w:rsidR="004134B2" w:rsidRPr="008D6E41" w:rsidRDefault="004134B2" w:rsidP="004134B2">
      <w:pPr>
        <w:jc w:val="center"/>
        <w:rPr>
          <w:color w:val="000000"/>
        </w:rPr>
      </w:pPr>
      <w:r w:rsidRPr="008D6E41">
        <w:rPr>
          <w:color w:val="000000"/>
        </w:rPr>
        <w:t>Legal Description of Land for Healthcare Facility</w:t>
      </w:r>
    </w:p>
    <w:p w14:paraId="3BAEB78E" w14:textId="77777777" w:rsidR="004134B2" w:rsidRPr="008D6E41" w:rsidRDefault="004134B2" w:rsidP="004134B2">
      <w:pPr>
        <w:jc w:val="center"/>
        <w:rPr>
          <w:color w:val="000000"/>
          <w:highlight w:val="yellow"/>
        </w:rPr>
      </w:pPr>
    </w:p>
    <w:p w14:paraId="6B5E1FFF" w14:textId="77777777" w:rsidR="00717748" w:rsidRPr="009B7616" w:rsidRDefault="00717748" w:rsidP="004134B2"/>
    <w:sectPr w:rsidR="00717748" w:rsidRPr="009B7616" w:rsidSect="0055781D">
      <w:footerReference w:type="default" r:id="rId12"/>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E436" w14:textId="77777777" w:rsidR="00C11B89" w:rsidRDefault="00C11B89" w:rsidP="00BE3924">
      <w:r>
        <w:separator/>
      </w:r>
    </w:p>
  </w:endnote>
  <w:endnote w:type="continuationSeparator" w:id="0">
    <w:p w14:paraId="61B0FFCF" w14:textId="77777777" w:rsidR="00C11B89" w:rsidRDefault="00C11B89"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0EF2" w14:textId="5AC3C485" w:rsidR="00536763" w:rsidRDefault="00000000" w:rsidP="00536763">
    <w:pPr>
      <w:pStyle w:val="Footer"/>
      <w:rPr>
        <w:rFonts w:ascii="Helvetica" w:hAnsi="Helvetica" w:cs="Arial"/>
        <w:sz w:val="20"/>
      </w:rPr>
    </w:pPr>
    <w:r>
      <w:rPr>
        <w:noProof/>
      </w:rPr>
      <w:pict w14:anchorId="4759CABE">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47B42478" w14:textId="1B11A915" w:rsidR="00536763" w:rsidRPr="00152104" w:rsidRDefault="00536763" w:rsidP="00536763">
    <w:pPr>
      <w:pStyle w:val="Footer"/>
      <w:rPr>
        <w:rFonts w:ascii="Helvetica" w:hAnsi="Helvetica"/>
        <w:sz w:val="18"/>
        <w:szCs w:val="18"/>
      </w:rPr>
    </w:pPr>
    <w:r w:rsidRPr="00515ACE">
      <w:rPr>
        <w:rFonts w:ascii="Helvetica" w:hAnsi="Helvetica" w:cs="Arial"/>
        <w:sz w:val="18"/>
        <w:szCs w:val="18"/>
      </w:rPr>
      <w:t>Previous vers</w:t>
    </w:r>
    <w:r>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3305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3305D">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HUD-92334-ORCF</w:t>
    </w:r>
    <w:r w:rsidRPr="00515ACE">
      <w:rPr>
        <w:rFonts w:ascii="Helvetica" w:hAnsi="Helvetica" w:cs="Arial"/>
        <w:sz w:val="18"/>
        <w:szCs w:val="18"/>
      </w:rPr>
      <w:t xml:space="preserve"> </w:t>
    </w:r>
    <w:r w:rsidR="00896614">
      <w:rPr>
        <w:rFonts w:ascii="Helvetica" w:hAnsi="Helvetica" w:cs="Arial"/>
        <w:sz w:val="18"/>
        <w:szCs w:val="18"/>
      </w:rPr>
      <w:t>(0</w:t>
    </w:r>
    <w:r w:rsidR="00B35740">
      <w:rPr>
        <w:rFonts w:ascii="Helvetica" w:hAnsi="Helvetica" w:cs="Arial"/>
        <w:sz w:val="18"/>
        <w:szCs w:val="18"/>
      </w:rPr>
      <w:t>1</w:t>
    </w:r>
    <w:r w:rsidR="00896614">
      <w:rPr>
        <w:rFonts w:ascii="Helvetica" w:hAnsi="Helvetica" w:cs="Arial"/>
        <w:sz w:val="18"/>
        <w:szCs w:val="18"/>
      </w:rPr>
      <w:t>/20</w:t>
    </w:r>
    <w:r w:rsidR="00B35740">
      <w:rPr>
        <w:rFonts w:ascii="Helvetica" w:hAnsi="Helvetica" w:cs="Arial"/>
        <w:sz w:val="18"/>
        <w:szCs w:val="18"/>
      </w:rPr>
      <w:t>23</w:t>
    </w:r>
    <w:r w:rsidR="00896614">
      <w:rPr>
        <w:rFonts w:ascii="Helvetica" w:hAnsi="Helvetica" w:cs="Arial"/>
        <w:sz w:val="18"/>
        <w:szCs w:val="18"/>
      </w:rPr>
      <w:t>)</w:t>
    </w:r>
  </w:p>
  <w:p w14:paraId="7BCC2901" w14:textId="16702F84" w:rsidR="00CD257B" w:rsidRPr="005C70C1" w:rsidRDefault="00CD257B" w:rsidP="00CD25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A0DF" w14:textId="77777777" w:rsidR="00C11B89" w:rsidRDefault="00C11B89" w:rsidP="00BE3924">
      <w:r>
        <w:separator/>
      </w:r>
    </w:p>
  </w:footnote>
  <w:footnote w:type="continuationSeparator" w:id="0">
    <w:p w14:paraId="49314F42" w14:textId="77777777" w:rsidR="00C11B89" w:rsidRDefault="00C11B89" w:rsidP="00BE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2129080814">
    <w:abstractNumId w:val="1"/>
  </w:num>
  <w:num w:numId="2" w16cid:durableId="929043398">
    <w:abstractNumId w:val="0"/>
  </w:num>
  <w:num w:numId="3" w16cid:durableId="747464551">
    <w:abstractNumId w:val="2"/>
  </w:num>
  <w:num w:numId="4" w16cid:durableId="2088838050">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rules v:ext="edit">
        <o:r id="V:Rule1" type="connector" idref="#AutoShape 1"/>
      </o:rules>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06CD7"/>
    <w:rsid w:val="000069E5"/>
    <w:rsid w:val="000114B8"/>
    <w:rsid w:val="0001638E"/>
    <w:rsid w:val="00026152"/>
    <w:rsid w:val="00027E24"/>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B742B"/>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601DF"/>
    <w:rsid w:val="001605F2"/>
    <w:rsid w:val="00167503"/>
    <w:rsid w:val="0018182A"/>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0E2"/>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B640A"/>
    <w:rsid w:val="003B76C2"/>
    <w:rsid w:val="003D2D0E"/>
    <w:rsid w:val="003E33F4"/>
    <w:rsid w:val="003E41F0"/>
    <w:rsid w:val="003E54EB"/>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86BE2"/>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205D1"/>
    <w:rsid w:val="0053305D"/>
    <w:rsid w:val="00536763"/>
    <w:rsid w:val="00537CD9"/>
    <w:rsid w:val="00542D9A"/>
    <w:rsid w:val="0054324E"/>
    <w:rsid w:val="00543BFE"/>
    <w:rsid w:val="0054784A"/>
    <w:rsid w:val="0055154E"/>
    <w:rsid w:val="005562E9"/>
    <w:rsid w:val="0055781D"/>
    <w:rsid w:val="00561D69"/>
    <w:rsid w:val="00571281"/>
    <w:rsid w:val="005745AF"/>
    <w:rsid w:val="0058790A"/>
    <w:rsid w:val="00592B36"/>
    <w:rsid w:val="00597E54"/>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61BBC"/>
    <w:rsid w:val="00661F65"/>
    <w:rsid w:val="00671C25"/>
    <w:rsid w:val="0067546E"/>
    <w:rsid w:val="006813D8"/>
    <w:rsid w:val="00691669"/>
    <w:rsid w:val="006938FF"/>
    <w:rsid w:val="006A6893"/>
    <w:rsid w:val="006B28C8"/>
    <w:rsid w:val="006B49C7"/>
    <w:rsid w:val="006B5BFD"/>
    <w:rsid w:val="006C56AA"/>
    <w:rsid w:val="006C671F"/>
    <w:rsid w:val="006C7900"/>
    <w:rsid w:val="006D41BC"/>
    <w:rsid w:val="006E04FB"/>
    <w:rsid w:val="006E1296"/>
    <w:rsid w:val="006F166B"/>
    <w:rsid w:val="006F1A1A"/>
    <w:rsid w:val="006F2B08"/>
    <w:rsid w:val="006F6C52"/>
    <w:rsid w:val="00706F44"/>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A7A6F"/>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6614"/>
    <w:rsid w:val="008973DC"/>
    <w:rsid w:val="008B0121"/>
    <w:rsid w:val="008B770C"/>
    <w:rsid w:val="008C09F4"/>
    <w:rsid w:val="008C77EB"/>
    <w:rsid w:val="008D0F2E"/>
    <w:rsid w:val="008D7BC6"/>
    <w:rsid w:val="008E257C"/>
    <w:rsid w:val="008E4164"/>
    <w:rsid w:val="008E545E"/>
    <w:rsid w:val="008F0B5F"/>
    <w:rsid w:val="008F5F08"/>
    <w:rsid w:val="009022CB"/>
    <w:rsid w:val="00902335"/>
    <w:rsid w:val="00902FCC"/>
    <w:rsid w:val="009044E9"/>
    <w:rsid w:val="0091424F"/>
    <w:rsid w:val="00917F2F"/>
    <w:rsid w:val="00920D74"/>
    <w:rsid w:val="009247F8"/>
    <w:rsid w:val="00930102"/>
    <w:rsid w:val="00931BDE"/>
    <w:rsid w:val="009406FF"/>
    <w:rsid w:val="00940B77"/>
    <w:rsid w:val="00947CAB"/>
    <w:rsid w:val="00954244"/>
    <w:rsid w:val="00954A85"/>
    <w:rsid w:val="00961ACB"/>
    <w:rsid w:val="009735DC"/>
    <w:rsid w:val="00973E56"/>
    <w:rsid w:val="00976860"/>
    <w:rsid w:val="009823AA"/>
    <w:rsid w:val="009908E2"/>
    <w:rsid w:val="009A41EF"/>
    <w:rsid w:val="009B7616"/>
    <w:rsid w:val="009C65FA"/>
    <w:rsid w:val="009D386D"/>
    <w:rsid w:val="009E0B2D"/>
    <w:rsid w:val="009E1ECF"/>
    <w:rsid w:val="009E694C"/>
    <w:rsid w:val="009F0127"/>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0945"/>
    <w:rsid w:val="00AC16AA"/>
    <w:rsid w:val="00AD1D1B"/>
    <w:rsid w:val="00AD692B"/>
    <w:rsid w:val="00AE3884"/>
    <w:rsid w:val="00AE5280"/>
    <w:rsid w:val="00AE5943"/>
    <w:rsid w:val="00AE7585"/>
    <w:rsid w:val="00AF0E28"/>
    <w:rsid w:val="00B0521A"/>
    <w:rsid w:val="00B145C8"/>
    <w:rsid w:val="00B15421"/>
    <w:rsid w:val="00B15D33"/>
    <w:rsid w:val="00B16BDB"/>
    <w:rsid w:val="00B176ED"/>
    <w:rsid w:val="00B20A7E"/>
    <w:rsid w:val="00B35740"/>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252"/>
    <w:rsid w:val="00BE085A"/>
    <w:rsid w:val="00BE2851"/>
    <w:rsid w:val="00BE3924"/>
    <w:rsid w:val="00BE5E8F"/>
    <w:rsid w:val="00BF3F74"/>
    <w:rsid w:val="00C06709"/>
    <w:rsid w:val="00C11B89"/>
    <w:rsid w:val="00C1308B"/>
    <w:rsid w:val="00C13E36"/>
    <w:rsid w:val="00C214B4"/>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CF3C0A"/>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27B6"/>
    <w:rsid w:val="00D74D62"/>
    <w:rsid w:val="00D76CF4"/>
    <w:rsid w:val="00D8243D"/>
    <w:rsid w:val="00D842C4"/>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195C"/>
    <w:rsid w:val="00E72ECF"/>
    <w:rsid w:val="00E74298"/>
    <w:rsid w:val="00E74D2B"/>
    <w:rsid w:val="00E9348D"/>
    <w:rsid w:val="00E9773C"/>
    <w:rsid w:val="00E97FC4"/>
    <w:rsid w:val="00EA4654"/>
    <w:rsid w:val="00EC04CA"/>
    <w:rsid w:val="00EE1111"/>
    <w:rsid w:val="00F01DCC"/>
    <w:rsid w:val="00F06902"/>
    <w:rsid w:val="00F06CD7"/>
    <w:rsid w:val="00F07BAD"/>
    <w:rsid w:val="00F12E5D"/>
    <w:rsid w:val="00F14B62"/>
    <w:rsid w:val="00F22FD4"/>
    <w:rsid w:val="00F2366F"/>
    <w:rsid w:val="00F23FE2"/>
    <w:rsid w:val="00F336FC"/>
    <w:rsid w:val="00F4024B"/>
    <w:rsid w:val="00F44F6A"/>
    <w:rsid w:val="00F473F9"/>
    <w:rsid w:val="00F50BD1"/>
    <w:rsid w:val="00F70C0B"/>
    <w:rsid w:val="00F7768F"/>
    <w:rsid w:val="00F81DAF"/>
    <w:rsid w:val="00F86F67"/>
    <w:rsid w:val="00FA1A3B"/>
    <w:rsid w:val="00FA1ABD"/>
    <w:rsid w:val="00FA20AD"/>
    <w:rsid w:val="00FA5F53"/>
    <w:rsid w:val="00FA780D"/>
    <w:rsid w:val="00FB6343"/>
    <w:rsid w:val="00FC2C51"/>
    <w:rsid w:val="00FC4BA8"/>
    <w:rsid w:val="00FC7E0D"/>
    <w:rsid w:val="00FD0FA4"/>
    <w:rsid w:val="00FD2827"/>
    <w:rsid w:val="00FE0902"/>
    <w:rsid w:val="00FE21E2"/>
    <w:rsid w:val="00FE3823"/>
    <w:rsid w:val="00FE43DA"/>
    <w:rsid w:val="00FE736A"/>
    <w:rsid w:val="00FE7D35"/>
    <w:rsid w:val="22CFB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2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paragraph" w:styleId="BalloonText">
    <w:name w:val="Balloon Text"/>
    <w:basedOn w:val="Normal"/>
    <w:link w:val="BalloonTextChar"/>
    <w:uiPriority w:val="99"/>
    <w:semiHidden/>
    <w:unhideWhenUsed/>
    <w:rsid w:val="00486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BE2"/>
    <w:rPr>
      <w:rFonts w:ascii="Segoe UI" w:eastAsia="Times New Roman" w:hAnsi="Segoe UI" w:cs="Segoe UI"/>
      <w:sz w:val="18"/>
      <w:szCs w:val="18"/>
    </w:rPr>
  </w:style>
  <w:style w:type="character" w:styleId="CommentReference">
    <w:name w:val="annotation reference"/>
    <w:basedOn w:val="DefaultParagraphFont"/>
    <w:semiHidden/>
    <w:unhideWhenUsed/>
    <w:rsid w:val="00486BE2"/>
    <w:rPr>
      <w:sz w:val="16"/>
      <w:szCs w:val="16"/>
    </w:rPr>
  </w:style>
  <w:style w:type="paragraph" w:styleId="CommentText">
    <w:name w:val="annotation text"/>
    <w:basedOn w:val="Normal"/>
    <w:link w:val="CommentTextChar"/>
    <w:semiHidden/>
    <w:unhideWhenUsed/>
    <w:rsid w:val="00486BE2"/>
    <w:rPr>
      <w:sz w:val="20"/>
    </w:rPr>
  </w:style>
  <w:style w:type="character" w:customStyle="1" w:styleId="CommentTextChar">
    <w:name w:val="Comment Text Char"/>
    <w:basedOn w:val="DefaultParagraphFont"/>
    <w:link w:val="CommentText"/>
    <w:semiHidden/>
    <w:rsid w:val="00486BE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86BE2"/>
    <w:rPr>
      <w:b/>
      <w:bCs/>
    </w:rPr>
  </w:style>
  <w:style w:type="character" w:customStyle="1" w:styleId="CommentSubjectChar">
    <w:name w:val="Comment Subject Char"/>
    <w:basedOn w:val="CommentTextChar"/>
    <w:link w:val="CommentSubject"/>
    <w:uiPriority w:val="99"/>
    <w:semiHidden/>
    <w:rsid w:val="00486BE2"/>
    <w:rPr>
      <w:rFonts w:eastAsia="Times New Roman"/>
      <w:b/>
      <w:bCs/>
      <w:sz w:val="20"/>
      <w:szCs w:val="20"/>
    </w:rPr>
  </w:style>
  <w:style w:type="character" w:styleId="LineNumber">
    <w:name w:val="line number"/>
    <w:basedOn w:val="DefaultParagraphFont"/>
    <w:uiPriority w:val="99"/>
    <w:semiHidden/>
    <w:unhideWhenUsed/>
    <w:rsid w:val="00C2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13764">
      <w:bodyDiv w:val="1"/>
      <w:marLeft w:val="0"/>
      <w:marRight w:val="0"/>
      <w:marTop w:val="0"/>
      <w:marBottom w:val="0"/>
      <w:divBdr>
        <w:top w:val="none" w:sz="0" w:space="0" w:color="auto"/>
        <w:left w:val="none" w:sz="0" w:space="0" w:color="auto"/>
        <w:bottom w:val="none" w:sz="0" w:space="0" w:color="auto"/>
        <w:right w:val="none" w:sz="0" w:space="0" w:color="auto"/>
      </w:divBdr>
    </w:div>
    <w:div w:id="17873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WUQRW3SEJQDQ-2105250395-5200</_dlc_DocId>
    <_dlc_DocIdUrl xmlns="d4a638c4-874f-49c0-bb2b-5cb8563c2b18">
      <Url>https://hudgov.sharepoint.com/sites/IHCF2/DEVL/pp/_layouts/15/DocIdRedir.aspx?ID=WUQRW3SEJQDQ-2105250395-5200</Url>
      <Description>WUQRW3SEJQDQ-2105250395-5200</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C656-2F21-43B7-9600-6650B526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DC18D-1DB0-4E66-845E-638EAC37D403}">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80F3C4B9-1296-499A-9A2F-37926515375B}">
  <ds:schemaRefs>
    <ds:schemaRef ds:uri="http://schemas.microsoft.com/sharepoint/events"/>
  </ds:schemaRefs>
</ds:datastoreItem>
</file>

<file path=customXml/itemProps4.xml><?xml version="1.0" encoding="utf-8"?>
<ds:datastoreItem xmlns:ds="http://schemas.openxmlformats.org/officeDocument/2006/customXml" ds:itemID="{8AFBCCCC-4C50-46E7-A35D-E6AC10B8D5E9}">
  <ds:schemaRefs>
    <ds:schemaRef ds:uri="http://schemas.microsoft.com/sharepoint/v3/contenttype/forms"/>
  </ds:schemaRefs>
</ds:datastoreItem>
</file>

<file path=customXml/itemProps5.xml><?xml version="1.0" encoding="utf-8"?>
<ds:datastoreItem xmlns:ds="http://schemas.openxmlformats.org/officeDocument/2006/customXml" ds:itemID="{BB39BC29-E070-4E81-86FF-73FCC591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2026</Words>
  <Characters>11552</Characters>
  <Application>Microsoft Office Word</Application>
  <DocSecurity>0</DocSecurity>
  <Lines>96</Lines>
  <Paragraphs>27</Paragraphs>
  <ScaleCrop>false</ScaleCrop>
  <Manager/>
  <Company/>
  <LinksUpToDate>false</LinksUpToDate>
  <CharactersWithSpaces>13551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2</cp:revision>
  <dcterms:created xsi:type="dcterms:W3CDTF">2018-10-24T19:24:00Z</dcterms:created>
  <dcterms:modified xsi:type="dcterms:W3CDTF">2023-01-23T18:52:00Z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e9a6dba2-dae5-4ad7-9911-8c6640506676</vt:lpwstr>
  </property>
  <property fmtid="{D5CDD505-2E9C-101B-9397-08002B2CF9AE}" pid="4" name="AuthorIds_UIVersion_2">
    <vt:lpwstr>71</vt:lpwstr>
  </property>
</Properties>
</file>