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54"/>
        <w:gridCol w:w="3418"/>
        <w:gridCol w:w="2570"/>
      </w:tblGrid>
      <w:tr w:rsidR="00EF4DB7" w:rsidRPr="00932178" w14:paraId="7AC410A5" w14:textId="77777777" w:rsidTr="00483C27">
        <w:trPr>
          <w:trHeight w:val="620"/>
        </w:trPr>
        <w:tc>
          <w:tcPr>
            <w:tcW w:w="3420" w:type="dxa"/>
          </w:tcPr>
          <w:p w14:paraId="279F9BA2" w14:textId="045F3976" w:rsidR="00F57194" w:rsidRPr="00932178" w:rsidRDefault="00FF7AA6" w:rsidP="00F57194">
            <w:pPr>
              <w:rPr>
                <w:rFonts w:ascii="Arial" w:hAnsi="Arial" w:cs="Arial"/>
                <w:b/>
                <w:bCs/>
                <w:sz w:val="16"/>
              </w:rPr>
            </w:pPr>
            <w:r w:rsidRPr="00932178">
              <w:rPr>
                <w:rFonts w:ascii="Arial" w:hAnsi="Arial" w:cs="Arial"/>
                <w:b/>
                <w:bCs/>
              </w:rPr>
              <w:t>Rider</w:t>
            </w:r>
            <w:r w:rsidR="00EF4DB7">
              <w:rPr>
                <w:rFonts w:ascii="Arial" w:hAnsi="Arial" w:cs="Arial"/>
                <w:b/>
                <w:bCs/>
              </w:rPr>
              <w:t xml:space="preserve"> to Regulatory Agreement – Section 213 Cooperatives</w:t>
            </w:r>
          </w:p>
          <w:p w14:paraId="31225877" w14:textId="77777777" w:rsidR="00F57194" w:rsidRPr="00932178" w:rsidRDefault="00F57194" w:rsidP="00A361B7">
            <w:pPr>
              <w:rPr>
                <w:rFonts w:ascii="Arial" w:hAnsi="Arial" w:cs="Arial"/>
                <w:b/>
                <w:bCs/>
                <w:sz w:val="16"/>
              </w:rPr>
            </w:pPr>
            <w:r w:rsidRPr="00932178">
              <w:rPr>
                <w:rFonts w:ascii="Arial" w:hAnsi="Arial" w:cs="Arial"/>
                <w:b/>
                <w:bCs/>
                <w:sz w:val="16"/>
              </w:rPr>
              <w:t xml:space="preserve"> </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610E75A0" w:rsidR="00F57194" w:rsidRPr="00932178" w:rsidRDefault="00F57194" w:rsidP="00F57194">
            <w:pPr>
              <w:jc w:val="right"/>
              <w:rPr>
                <w:rFonts w:ascii="Arial" w:hAnsi="Arial" w:cs="Arial"/>
                <w:sz w:val="16"/>
              </w:rPr>
            </w:pPr>
            <w:r w:rsidRPr="00932178">
              <w:rPr>
                <w:rFonts w:ascii="Arial" w:hAnsi="Arial" w:cs="Arial"/>
                <w:sz w:val="16"/>
              </w:rPr>
              <w:t>OMB Approval No.</w:t>
            </w:r>
            <w:r w:rsidR="001F3D71">
              <w:rPr>
                <w:rFonts w:ascii="Arial" w:hAnsi="Arial"/>
                <w:color w:val="000000"/>
                <w:sz w:val="16"/>
              </w:rPr>
              <w:t xml:space="preserve"> 2502-0598</w:t>
            </w:r>
            <w:r w:rsidR="007270E4" w:rsidRPr="00932178">
              <w:rPr>
                <w:rFonts w:ascii="Arial" w:hAnsi="Arial" w:cs="Arial"/>
                <w:sz w:val="16"/>
              </w:rPr>
              <w:t xml:space="preserve"> </w:t>
            </w:r>
            <w:r w:rsidRPr="00932178">
              <w:rPr>
                <w:rFonts w:ascii="Arial" w:hAnsi="Arial" w:cs="Arial"/>
                <w:sz w:val="16"/>
              </w:rPr>
              <w:t xml:space="preserve"> </w:t>
            </w:r>
          </w:p>
          <w:p w14:paraId="53BC52DF" w14:textId="34A9C6F5"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2A21C6" w:rsidRPr="002A21C6">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75DF2D44" w14:textId="07C9CE95" w:rsidR="00B34299" w:rsidRDefault="00B34299"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B34299">
        <w:rPr>
          <w:rFonts w:ascii="Arial" w:hAnsi="Arial" w:cs="Arial"/>
          <w:b/>
          <w:sz w:val="16"/>
        </w:rPr>
        <w:t xml:space="preserve">The public reporting burden </w:t>
      </w:r>
      <w:r w:rsidRPr="00B355D9">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786581D0" w14:textId="77777777" w:rsidR="003A2F11" w:rsidRDefault="003A2F1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31A93D84" w:rsidR="002B3923" w:rsidRPr="00932178" w:rsidRDefault="003A2F1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D0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27025B51" w14:textId="77777777" w:rsidR="00390FDC" w:rsidRDefault="00390FDC" w:rsidP="00B43E62">
      <w:pPr>
        <w:rPr>
          <w:rFonts w:ascii="Arial" w:hAnsi="Arial" w:cs="Arial"/>
          <w:bCs/>
        </w:rPr>
      </w:pPr>
    </w:p>
    <w:p w14:paraId="6A79AD1E" w14:textId="77777777" w:rsidR="00390FDC" w:rsidRDefault="00390FDC" w:rsidP="00B43E62">
      <w:pPr>
        <w:rPr>
          <w:rFonts w:ascii="Arial" w:hAnsi="Arial" w:cs="Arial"/>
          <w:bCs/>
        </w:rPr>
      </w:pPr>
    </w:p>
    <w:p w14:paraId="0620E1D1" w14:textId="77777777" w:rsidR="00390FDC" w:rsidRDefault="00390FDC" w:rsidP="00B43E62">
      <w:pPr>
        <w:rPr>
          <w:rFonts w:ascii="Arial" w:hAnsi="Arial" w:cs="Arial"/>
          <w:bCs/>
        </w:rPr>
      </w:pPr>
    </w:p>
    <w:p w14:paraId="0167E948" w14:textId="4ABE2CC9" w:rsidR="00390FDC" w:rsidRPr="00625DA8" w:rsidRDefault="00390FDC" w:rsidP="00390FDC">
      <w:pPr>
        <w:pStyle w:val="BodyText"/>
        <w:spacing w:after="0"/>
        <w:ind w:firstLine="720"/>
        <w:rPr>
          <w:rFonts w:ascii="Arial" w:hAnsi="Arial" w:cs="Arial"/>
          <w:szCs w:val="24"/>
        </w:rPr>
      </w:pPr>
      <w:r w:rsidRPr="00625DA8">
        <w:rPr>
          <w:rFonts w:ascii="Arial" w:hAnsi="Arial" w:cs="Arial"/>
          <w:szCs w:val="24"/>
        </w:rPr>
        <w:t xml:space="preserve">This Rider to Regulatory Agreement </w:t>
      </w:r>
      <w:r w:rsidR="00F82D7F">
        <w:rPr>
          <w:rFonts w:ascii="Arial" w:hAnsi="Arial" w:cs="Arial"/>
          <w:szCs w:val="24"/>
        </w:rPr>
        <w:t>– Section 213 Cooperatives</w:t>
      </w:r>
      <w:r w:rsidRPr="00625DA8">
        <w:rPr>
          <w:rFonts w:ascii="Arial" w:hAnsi="Arial" w:cs="Arial"/>
          <w:szCs w:val="24"/>
        </w:rPr>
        <w:t xml:space="preserve"> (</w:t>
      </w:r>
      <w:r w:rsidRPr="00625DA8">
        <w:rPr>
          <w:rFonts w:ascii="Arial" w:hAnsi="Arial" w:cs="Arial"/>
          <w:b/>
          <w:bCs/>
          <w:szCs w:val="24"/>
        </w:rPr>
        <w:t>“Rider”</w:t>
      </w:r>
      <w:r w:rsidRPr="00625DA8">
        <w:rPr>
          <w:rFonts w:ascii="Arial" w:hAnsi="Arial" w:cs="Arial"/>
          <w:szCs w:val="24"/>
        </w:rPr>
        <w:t xml:space="preserve">) is attached to and amends the Regulatory Agreement for Multifamily Projects entered into between  </w:t>
      </w:r>
      <w:r w:rsidRPr="00625DA8">
        <w:rPr>
          <w:rFonts w:ascii="Arial" w:hAnsi="Arial" w:cs="Arial"/>
          <w:szCs w:val="24"/>
          <w:u w:val="single"/>
        </w:rPr>
        <w:t xml:space="preserve">                   </w:t>
      </w:r>
      <w:r w:rsidRPr="00625DA8">
        <w:rPr>
          <w:rFonts w:ascii="Arial" w:hAnsi="Arial" w:cs="Arial"/>
          <w:szCs w:val="24"/>
        </w:rPr>
        <w:t xml:space="preserve"> (</w:t>
      </w:r>
      <w:r w:rsidRPr="00625DA8">
        <w:rPr>
          <w:rFonts w:ascii="Arial" w:hAnsi="Arial" w:cs="Arial"/>
          <w:b/>
          <w:bCs/>
          <w:szCs w:val="24"/>
        </w:rPr>
        <w:t>“</w:t>
      </w:r>
      <w:r w:rsidRPr="00625DA8">
        <w:rPr>
          <w:rFonts w:ascii="Arial" w:hAnsi="Arial" w:cs="Arial"/>
          <w:b/>
          <w:bCs/>
          <w:iCs/>
          <w:szCs w:val="24"/>
        </w:rPr>
        <w:t>Borrower</w:t>
      </w:r>
      <w:r w:rsidRPr="00625DA8">
        <w:rPr>
          <w:rFonts w:ascii="Arial" w:hAnsi="Arial" w:cs="Arial"/>
          <w:b/>
          <w:bCs/>
          <w:szCs w:val="24"/>
        </w:rPr>
        <w:t>”</w:t>
      </w:r>
      <w:r w:rsidRPr="00625DA8">
        <w:rPr>
          <w:rFonts w:ascii="Arial" w:hAnsi="Arial" w:cs="Arial"/>
          <w:szCs w:val="24"/>
        </w:rPr>
        <w:t>) and the United States Department of Housing and Urban Development, acting by and through the Secretary, his or her successors, assigns or designates (</w:t>
      </w:r>
      <w:r w:rsidRPr="00625DA8">
        <w:rPr>
          <w:rFonts w:ascii="Arial" w:hAnsi="Arial" w:cs="Arial"/>
          <w:b/>
          <w:bCs/>
          <w:szCs w:val="24"/>
        </w:rPr>
        <w:t>“HUD”</w:t>
      </w:r>
      <w:r w:rsidRPr="00625DA8">
        <w:rPr>
          <w:rFonts w:ascii="Arial" w:hAnsi="Arial" w:cs="Arial"/>
          <w:szCs w:val="24"/>
        </w:rPr>
        <w:t>), dated as of [</w:t>
      </w:r>
      <w:r w:rsidRPr="00625DA8">
        <w:rPr>
          <w:rFonts w:ascii="Arial" w:hAnsi="Arial" w:cs="Arial"/>
          <w:b/>
          <w:i/>
          <w:szCs w:val="24"/>
        </w:rPr>
        <w:t>Date</w:t>
      </w:r>
      <w:r w:rsidRPr="00625DA8">
        <w:rPr>
          <w:rFonts w:ascii="Arial" w:hAnsi="Arial" w:cs="Arial"/>
          <w:szCs w:val="24"/>
        </w:rPr>
        <w:t>] (</w:t>
      </w:r>
      <w:r w:rsidRPr="00625DA8">
        <w:rPr>
          <w:rFonts w:ascii="Arial" w:hAnsi="Arial" w:cs="Arial"/>
          <w:b/>
          <w:bCs/>
          <w:szCs w:val="24"/>
        </w:rPr>
        <w:t>“Regulatory Agreement”</w:t>
      </w:r>
      <w:r w:rsidRPr="00625DA8">
        <w:rPr>
          <w:rFonts w:ascii="Arial" w:hAnsi="Arial" w:cs="Arial"/>
          <w:szCs w:val="24"/>
        </w:rPr>
        <w:t>).</w:t>
      </w:r>
    </w:p>
    <w:p w14:paraId="0A6D29D4" w14:textId="77777777" w:rsidR="00390FDC" w:rsidRPr="00625DA8" w:rsidRDefault="00390FDC" w:rsidP="00390FDC">
      <w:pPr>
        <w:pStyle w:val="BodyText"/>
        <w:spacing w:after="0"/>
        <w:rPr>
          <w:rFonts w:ascii="Arial" w:hAnsi="Arial" w:cs="Arial"/>
          <w:szCs w:val="24"/>
        </w:rPr>
      </w:pPr>
    </w:p>
    <w:p w14:paraId="18EA661D" w14:textId="77777777" w:rsidR="00390FDC" w:rsidRPr="00625DA8" w:rsidRDefault="00390FDC" w:rsidP="00390FDC">
      <w:pPr>
        <w:pStyle w:val="BodyText"/>
        <w:spacing w:after="0"/>
        <w:ind w:firstLine="720"/>
        <w:rPr>
          <w:rFonts w:ascii="Arial" w:hAnsi="Arial" w:cs="Arial"/>
          <w:szCs w:val="24"/>
        </w:rPr>
      </w:pPr>
      <w:r w:rsidRPr="00625DA8">
        <w:rPr>
          <w:rFonts w:ascii="Arial" w:hAnsi="Arial" w:cs="Arial"/>
          <w:szCs w:val="24"/>
        </w:rPr>
        <w:t xml:space="preserve">To the extent any provisions of this Rider conflict with any provisions in the Regulatory Agreement, the provisions of this Rider shall prevail.  Any terms in the body of the Regulatory </w:t>
      </w:r>
      <w:proofErr w:type="gramStart"/>
      <w:r w:rsidRPr="00625DA8">
        <w:rPr>
          <w:rFonts w:ascii="Arial" w:hAnsi="Arial" w:cs="Arial"/>
          <w:szCs w:val="24"/>
        </w:rPr>
        <w:t>Agreement</w:t>
      </w:r>
      <w:proofErr w:type="gramEnd"/>
      <w:r w:rsidRPr="00625DA8">
        <w:rPr>
          <w:rFonts w:ascii="Arial" w:hAnsi="Arial" w:cs="Arial"/>
          <w:szCs w:val="24"/>
        </w:rPr>
        <w:t xml:space="preserve"> not in conflict with the provisions of this Rider remain in full </w:t>
      </w:r>
      <w:proofErr w:type="gramStart"/>
      <w:r w:rsidRPr="00625DA8">
        <w:rPr>
          <w:rFonts w:ascii="Arial" w:hAnsi="Arial" w:cs="Arial"/>
          <w:szCs w:val="24"/>
        </w:rPr>
        <w:t>force</w:t>
      </w:r>
      <w:proofErr w:type="gramEnd"/>
      <w:r w:rsidRPr="00625DA8">
        <w:rPr>
          <w:rFonts w:ascii="Arial" w:hAnsi="Arial" w:cs="Arial"/>
          <w:szCs w:val="24"/>
        </w:rPr>
        <w:t xml:space="preserve"> and effect.   </w:t>
      </w:r>
    </w:p>
    <w:p w14:paraId="7855749F" w14:textId="77777777" w:rsidR="00390FDC" w:rsidRDefault="00390FDC" w:rsidP="00B43E62">
      <w:pPr>
        <w:rPr>
          <w:rFonts w:ascii="Arial" w:hAnsi="Arial" w:cs="Arial"/>
          <w:bCs/>
        </w:rPr>
      </w:pPr>
    </w:p>
    <w:p w14:paraId="659C7642" w14:textId="0640986B" w:rsidR="003F4A11" w:rsidRDefault="003F4A11" w:rsidP="00B43E62">
      <w:pPr>
        <w:rPr>
          <w:rFonts w:ascii="Arial" w:hAnsi="Arial" w:cs="Arial"/>
          <w:bCs/>
        </w:rPr>
      </w:pPr>
    </w:p>
    <w:p w14:paraId="1E45EC16" w14:textId="1A058669" w:rsidR="00EF4DB7" w:rsidRPr="00B90436" w:rsidRDefault="00EF4DB7" w:rsidP="00EF4DB7">
      <w:pPr>
        <w:rPr>
          <w:rFonts w:ascii="Arial" w:hAnsi="Arial" w:cs="Arial"/>
          <w:szCs w:val="24"/>
        </w:rPr>
      </w:pPr>
      <w:r w:rsidRPr="00B90436">
        <w:rPr>
          <w:rFonts w:ascii="Arial" w:hAnsi="Arial" w:cs="Arial"/>
          <w:szCs w:val="24"/>
        </w:rPr>
        <w:t>A.  The following definition is hereby inserted as subsection mm of Article 1, Section 1 of the Regulatory Agreement:</w:t>
      </w:r>
    </w:p>
    <w:p w14:paraId="7B7EC102" w14:textId="77777777" w:rsidR="00EF4DB7" w:rsidRPr="00B90436" w:rsidRDefault="00EF4DB7" w:rsidP="00EF4DB7">
      <w:pPr>
        <w:rPr>
          <w:rFonts w:ascii="Arial" w:hAnsi="Arial" w:cs="Arial"/>
          <w:szCs w:val="24"/>
        </w:rPr>
      </w:pPr>
    </w:p>
    <w:p w14:paraId="48BF72B2" w14:textId="2E278C5A" w:rsidR="00EF4DB7" w:rsidRPr="00B90436" w:rsidRDefault="00EF4DB7" w:rsidP="00EB54A1">
      <w:pPr>
        <w:ind w:left="720"/>
        <w:rPr>
          <w:rFonts w:ascii="Arial" w:hAnsi="Arial" w:cs="Arial"/>
          <w:szCs w:val="24"/>
        </w:rPr>
      </w:pPr>
      <w:r w:rsidRPr="00B90436">
        <w:rPr>
          <w:rFonts w:ascii="Arial" w:hAnsi="Arial" w:cs="Arial"/>
          <w:szCs w:val="24"/>
        </w:rPr>
        <w:t>“</w:t>
      </w:r>
      <w:proofErr w:type="spellStart"/>
      <w:proofErr w:type="gramStart"/>
      <w:r w:rsidR="007C7BEB">
        <w:rPr>
          <w:rFonts w:ascii="Arial" w:hAnsi="Arial" w:cs="Arial"/>
          <w:szCs w:val="24"/>
        </w:rPr>
        <w:t>ll</w:t>
      </w:r>
      <w:proofErr w:type="spellEnd"/>
      <w:r w:rsidRPr="00B90436">
        <w:rPr>
          <w:rFonts w:ascii="Arial" w:hAnsi="Arial" w:cs="Arial"/>
          <w:szCs w:val="24"/>
        </w:rPr>
        <w:t xml:space="preserve">:  </w:t>
      </w:r>
      <w:r w:rsidR="00977732" w:rsidRPr="00977732">
        <w:rPr>
          <w:rFonts w:ascii="Arial" w:hAnsi="Arial" w:cs="Arial"/>
          <w:b/>
          <w:bCs/>
          <w:szCs w:val="24"/>
        </w:rPr>
        <w:t>“</w:t>
      </w:r>
      <w:proofErr w:type="gramEnd"/>
      <w:r w:rsidRPr="00977732">
        <w:rPr>
          <w:rFonts w:ascii="Arial" w:hAnsi="Arial" w:cs="Arial"/>
          <w:b/>
          <w:bCs/>
          <w:szCs w:val="24"/>
        </w:rPr>
        <w:t>General Operating Reserve Account</w:t>
      </w:r>
      <w:r w:rsidR="00977732" w:rsidRPr="00977732">
        <w:rPr>
          <w:rFonts w:ascii="Arial" w:hAnsi="Arial" w:cs="Arial"/>
          <w:b/>
          <w:bCs/>
          <w:szCs w:val="24"/>
        </w:rPr>
        <w:t>”</w:t>
      </w:r>
      <w:r w:rsidRPr="00B90436">
        <w:rPr>
          <w:rFonts w:ascii="Arial" w:hAnsi="Arial" w:cs="Arial"/>
          <w:szCs w:val="24"/>
        </w:rPr>
        <w:t xml:space="preserve"> shall mean the account where the funds identified in Section 51 of </w:t>
      </w:r>
      <w:r w:rsidR="00DC79A2">
        <w:rPr>
          <w:rFonts w:ascii="Arial" w:hAnsi="Arial" w:cs="Arial"/>
          <w:szCs w:val="24"/>
        </w:rPr>
        <w:t xml:space="preserve">the </w:t>
      </w:r>
      <w:r w:rsidRPr="00B90436">
        <w:rPr>
          <w:rFonts w:ascii="Arial" w:hAnsi="Arial" w:cs="Arial"/>
          <w:szCs w:val="24"/>
        </w:rPr>
        <w:t>Rider</w:t>
      </w:r>
      <w:r w:rsidR="00140CE4">
        <w:rPr>
          <w:rFonts w:ascii="Arial" w:hAnsi="Arial" w:cs="Arial"/>
          <w:szCs w:val="24"/>
        </w:rPr>
        <w:t xml:space="preserve"> </w:t>
      </w:r>
      <w:r w:rsidR="00AB7116">
        <w:rPr>
          <w:rFonts w:ascii="Arial" w:hAnsi="Arial" w:cs="Arial"/>
          <w:szCs w:val="24"/>
        </w:rPr>
        <w:t>to Regulatory Agreement – Section 213 Cooperatives</w:t>
      </w:r>
      <w:r w:rsidR="00147090">
        <w:rPr>
          <w:rFonts w:ascii="Arial" w:hAnsi="Arial" w:cs="Arial"/>
          <w:szCs w:val="24"/>
        </w:rPr>
        <w:t xml:space="preserve"> attached to this Agreement</w:t>
      </w:r>
      <w:r w:rsidR="00AB7116">
        <w:rPr>
          <w:rFonts w:ascii="Arial" w:hAnsi="Arial" w:cs="Arial"/>
          <w:szCs w:val="24"/>
        </w:rPr>
        <w:t xml:space="preserve">, </w:t>
      </w:r>
      <w:r w:rsidRPr="00B90436">
        <w:rPr>
          <w:rFonts w:ascii="Arial" w:hAnsi="Arial" w:cs="Arial"/>
          <w:szCs w:val="24"/>
        </w:rPr>
        <w:t>are held.”</w:t>
      </w:r>
    </w:p>
    <w:p w14:paraId="739FF200" w14:textId="77777777" w:rsidR="00EF4DB7" w:rsidRPr="00B90436" w:rsidRDefault="00EF4DB7" w:rsidP="00EF4DB7">
      <w:pPr>
        <w:rPr>
          <w:rFonts w:ascii="Arial" w:hAnsi="Arial" w:cs="Arial"/>
          <w:szCs w:val="24"/>
        </w:rPr>
      </w:pPr>
    </w:p>
    <w:p w14:paraId="5A13D3F3" w14:textId="3A68FFCC" w:rsidR="00EF4DB7" w:rsidRPr="00B90436" w:rsidRDefault="00EF4DB7" w:rsidP="00EF4DB7">
      <w:pPr>
        <w:rPr>
          <w:rFonts w:ascii="Arial" w:hAnsi="Arial" w:cs="Arial"/>
          <w:szCs w:val="24"/>
        </w:rPr>
      </w:pPr>
      <w:r w:rsidRPr="00B90436">
        <w:rPr>
          <w:rFonts w:ascii="Arial" w:hAnsi="Arial" w:cs="Arial"/>
          <w:szCs w:val="24"/>
        </w:rPr>
        <w:t>B.  The following provisions are hereby inserted as Section 51, 52, and 53, respectively, of the Regulatory Agreement.  To the extent the provisions of the foregoing Regulatory Agreement and this Rider</w:t>
      </w:r>
      <w:r w:rsidR="00184E3A">
        <w:rPr>
          <w:rFonts w:ascii="Arial" w:hAnsi="Arial" w:cs="Arial"/>
          <w:szCs w:val="24"/>
        </w:rPr>
        <w:t xml:space="preserve"> </w:t>
      </w:r>
      <w:r w:rsidRPr="00B90436">
        <w:rPr>
          <w:rFonts w:ascii="Arial" w:hAnsi="Arial" w:cs="Arial"/>
          <w:szCs w:val="24"/>
        </w:rPr>
        <w:t xml:space="preserve">shall conflict, the provision of this Rider </w:t>
      </w:r>
      <w:r w:rsidR="00184E3A">
        <w:rPr>
          <w:rFonts w:ascii="Arial" w:hAnsi="Arial" w:cs="Arial"/>
          <w:szCs w:val="24"/>
        </w:rPr>
        <w:t>s</w:t>
      </w:r>
      <w:r w:rsidRPr="00B90436">
        <w:rPr>
          <w:rFonts w:ascii="Arial" w:hAnsi="Arial" w:cs="Arial"/>
          <w:szCs w:val="24"/>
        </w:rPr>
        <w:t>hall prevail:</w:t>
      </w:r>
    </w:p>
    <w:p w14:paraId="45B6E51F" w14:textId="77777777" w:rsidR="00EF4DB7" w:rsidRPr="00B90436" w:rsidRDefault="00EF4DB7" w:rsidP="00EF4DB7">
      <w:pPr>
        <w:rPr>
          <w:rFonts w:ascii="Arial" w:hAnsi="Arial" w:cs="Arial"/>
          <w:szCs w:val="24"/>
        </w:rPr>
      </w:pPr>
    </w:p>
    <w:p w14:paraId="2969362D" w14:textId="3E4034B5" w:rsidR="00EF4DB7" w:rsidRPr="00B90436" w:rsidRDefault="00EF4DB7" w:rsidP="00EB54A1">
      <w:pPr>
        <w:ind w:left="720"/>
        <w:rPr>
          <w:rFonts w:ascii="Arial" w:hAnsi="Arial" w:cs="Arial"/>
          <w:szCs w:val="24"/>
        </w:rPr>
      </w:pPr>
      <w:r w:rsidRPr="00B90436">
        <w:rPr>
          <w:rFonts w:ascii="Arial" w:hAnsi="Arial" w:cs="Arial"/>
          <w:szCs w:val="24"/>
        </w:rPr>
        <w:t xml:space="preserve">51.  Commencing with occupancy, the Borrower shall establish and maintain a General Operating Reserve Account by allocation and payment thereto monthly of a sum equivalent to not less than 3 percent of the monthly amount otherwise chargeable to the members pursuant to their Occupancy Agreements.  Upon accrual in the General Operating Reserve Account of an amount equal to 15 percent of the current annual amount otherwise chargeable to the members pursuant to their Occupancy Agreements, the rate of such monthly allocations </w:t>
      </w:r>
      <w:r w:rsidRPr="00B90436">
        <w:rPr>
          <w:rFonts w:ascii="Arial" w:hAnsi="Arial" w:cs="Arial"/>
          <w:szCs w:val="24"/>
        </w:rPr>
        <w:lastRenderedPageBreak/>
        <w:t xml:space="preserve">may, by appropriate action of the Borrower, be reduced from 3 percent to 2 percent; provided, however, that in the event withdrawals from such Account reduce it below said 15 percent accrual, the rate of such monthly deposits shall immediately be restored to 3 percent.  At any time thereafter upon accrual in said General Operating Reserve Account of an amount equal to 25 percent of the current annual amount otherwise chargeable to the members pursuant to their Occupancy Agreements, such monthly deposits may, by appropriate action of the Borrower, be discontinued and no further deposits need be made into the General Operating Reserve Account so long as said 25 percent level is maintained and provided, further, that upon any reduction of such reserve below said 25 percent level, monthly deposits shall be made at the 3 percent rate until the 25 percent level is restored.  The General Operating Reserve Account shall remain in a special account and may be in the form of a cash deposit or invested in obligations of, or fully guaranteed as to principal by, the United States of America, and shall at all times be under the control of the Borrower.  The General Operating Reserve Account is intended to provide a measure of financial stability during periods of special stress and may be used to meet deficiencies from time to time as a result of delinquent payments by individual members, to provide funds for the re-purchase of membership interests of withdrawing members, and other contingencies.  Disbursements totaling in excess of 20 percent of the total balance in the reserve as of the close of the preceding annual period may not be made during any annual period without the consent of HUD.  </w:t>
      </w:r>
    </w:p>
    <w:p w14:paraId="445032F7" w14:textId="77777777" w:rsidR="00EF4DB7" w:rsidRPr="00B90436" w:rsidRDefault="00EF4DB7" w:rsidP="00EF4DB7">
      <w:pPr>
        <w:rPr>
          <w:rFonts w:ascii="Arial" w:hAnsi="Arial" w:cs="Arial"/>
          <w:szCs w:val="24"/>
        </w:rPr>
      </w:pPr>
    </w:p>
    <w:p w14:paraId="53C006AB" w14:textId="4032DFB1" w:rsidR="00EF4DB7" w:rsidRPr="00B90436" w:rsidRDefault="00EF4DB7" w:rsidP="00B40B5E">
      <w:pPr>
        <w:ind w:left="720"/>
        <w:rPr>
          <w:rFonts w:ascii="Arial" w:hAnsi="Arial" w:cs="Arial"/>
          <w:szCs w:val="24"/>
        </w:rPr>
      </w:pPr>
      <w:r w:rsidRPr="00B90436">
        <w:rPr>
          <w:rFonts w:ascii="Arial" w:hAnsi="Arial" w:cs="Arial"/>
          <w:szCs w:val="24"/>
        </w:rPr>
        <w:t xml:space="preserve">52.  The Borrower shall establish and collect monthly carrying charges pursuant to the conditions set forth hereinafter.  Monthly carrying charges charged to members shall be made by the Borrower in accordance with a schedule of charges filed with and approved in writing by HUD prior to endorsement of the Note.  Such charges shall be </w:t>
      </w:r>
      <w:proofErr w:type="gramStart"/>
      <w:r w:rsidRPr="00B90436">
        <w:rPr>
          <w:rFonts w:ascii="Arial" w:hAnsi="Arial" w:cs="Arial"/>
          <w:szCs w:val="24"/>
        </w:rPr>
        <w:t>in</w:t>
      </w:r>
      <w:proofErr w:type="gramEnd"/>
      <w:r w:rsidRPr="00B90436">
        <w:rPr>
          <w:rFonts w:ascii="Arial" w:hAnsi="Arial" w:cs="Arial"/>
          <w:szCs w:val="24"/>
        </w:rPr>
        <w:t xml:space="preserve"> an amount sufficient to meet HUD’s estimate of cooperative management </w:t>
      </w:r>
      <w:proofErr w:type="gramStart"/>
      <w:r w:rsidRPr="00B90436">
        <w:rPr>
          <w:rFonts w:ascii="Arial" w:hAnsi="Arial" w:cs="Arial"/>
          <w:szCs w:val="24"/>
        </w:rPr>
        <w:t>expense</w:t>
      </w:r>
      <w:proofErr w:type="gramEnd"/>
      <w:r w:rsidRPr="00B90436">
        <w:rPr>
          <w:rFonts w:ascii="Arial" w:hAnsi="Arial" w:cs="Arial"/>
          <w:szCs w:val="24"/>
        </w:rPr>
        <w:t xml:space="preserve">, operating </w:t>
      </w:r>
      <w:proofErr w:type="gramStart"/>
      <w:r w:rsidRPr="00B90436">
        <w:rPr>
          <w:rFonts w:ascii="Arial" w:hAnsi="Arial" w:cs="Arial"/>
          <w:szCs w:val="24"/>
        </w:rPr>
        <w:t>expense</w:t>
      </w:r>
      <w:proofErr w:type="gramEnd"/>
      <w:r w:rsidRPr="00B90436">
        <w:rPr>
          <w:rFonts w:ascii="Arial" w:hAnsi="Arial" w:cs="Arial"/>
          <w:szCs w:val="24"/>
        </w:rPr>
        <w:t xml:space="preserve"> and maintenance </w:t>
      </w:r>
      <w:proofErr w:type="gramStart"/>
      <w:r w:rsidRPr="00B90436">
        <w:rPr>
          <w:rFonts w:ascii="Arial" w:hAnsi="Arial" w:cs="Arial"/>
          <w:szCs w:val="24"/>
        </w:rPr>
        <w:t>expense</w:t>
      </w:r>
      <w:proofErr w:type="gramEnd"/>
      <w:r w:rsidRPr="00B90436">
        <w:rPr>
          <w:rFonts w:ascii="Arial" w:hAnsi="Arial" w:cs="Arial"/>
          <w:szCs w:val="24"/>
        </w:rPr>
        <w:t>, debt service, taxes, special assessments and ground rents, if any, reserves, and all other expenses of the Borrower.  Thereafter, charges made by the Borrower for its accommodations shall be in accordance with a schedule of charges filed with and approved in writing by HUD and shall be in amounts sufficient to meet the Borrower’s estimate of expenses set forth in an operating budget which shall be prepared and submitted to the HUD 60 days prior to the beginning of each fiscal year.  The operating budget shall set forth the anticipated income of the project and a sufficiently detailed estimate of expenses which will include separate estimates for administration expense, operating expense, maintenance expense, utilities, hazard insurance, taxes and assessments, ground rent, interest and amortization, mortgage insurance premium, replacement reserve and operating reserve.</w:t>
      </w:r>
    </w:p>
    <w:p w14:paraId="08CCBF44" w14:textId="77777777" w:rsidR="00EF4DB7" w:rsidRPr="00B90436" w:rsidRDefault="00EF4DB7" w:rsidP="00EF4DB7">
      <w:pPr>
        <w:rPr>
          <w:rFonts w:ascii="Arial" w:hAnsi="Arial" w:cs="Arial"/>
          <w:szCs w:val="24"/>
        </w:rPr>
      </w:pPr>
    </w:p>
    <w:p w14:paraId="31D251D2" w14:textId="77777777" w:rsidR="00EF4DB7" w:rsidRPr="00B90436" w:rsidRDefault="00EF4DB7" w:rsidP="00B40B5E">
      <w:pPr>
        <w:ind w:left="720"/>
        <w:rPr>
          <w:rFonts w:ascii="Arial" w:hAnsi="Arial" w:cs="Arial"/>
          <w:szCs w:val="24"/>
        </w:rPr>
      </w:pPr>
      <w:r w:rsidRPr="00B90436">
        <w:rPr>
          <w:rFonts w:ascii="Arial" w:hAnsi="Arial" w:cs="Arial"/>
          <w:szCs w:val="24"/>
        </w:rPr>
        <w:t>53.  Borrower shall not, without the written consent of HUD:</w:t>
      </w:r>
    </w:p>
    <w:p w14:paraId="6C99AF04" w14:textId="77777777" w:rsidR="00EF4DB7" w:rsidRPr="00B90436" w:rsidRDefault="00EF4DB7" w:rsidP="00B40B5E">
      <w:pPr>
        <w:ind w:left="720"/>
        <w:rPr>
          <w:rFonts w:ascii="Arial" w:hAnsi="Arial" w:cs="Arial"/>
          <w:szCs w:val="24"/>
        </w:rPr>
      </w:pPr>
    </w:p>
    <w:p w14:paraId="5EDC2277" w14:textId="77777777" w:rsidR="00EF4DB7" w:rsidRPr="00B90436" w:rsidRDefault="00EF4DB7" w:rsidP="00B40B5E">
      <w:pPr>
        <w:pStyle w:val="ListParagraph"/>
        <w:widowControl/>
        <w:numPr>
          <w:ilvl w:val="0"/>
          <w:numId w:val="19"/>
        </w:numPr>
        <w:ind w:left="1440"/>
        <w:rPr>
          <w:rFonts w:ascii="Arial" w:hAnsi="Arial" w:cs="Arial"/>
          <w:szCs w:val="24"/>
        </w:rPr>
      </w:pPr>
      <w:r w:rsidRPr="00B90436">
        <w:rPr>
          <w:rFonts w:ascii="Arial" w:hAnsi="Arial" w:cs="Arial"/>
          <w:szCs w:val="24"/>
        </w:rPr>
        <w:t>Permit the occupancy of any of the residential units except at the charges established in Section 51, and pursuant to an Occupancy Agreement in a form approved by HUD.</w:t>
      </w:r>
    </w:p>
    <w:p w14:paraId="3E230C5E" w14:textId="77777777" w:rsidR="00EF4DB7" w:rsidRPr="00B90436" w:rsidRDefault="00EF4DB7" w:rsidP="00B40B5E">
      <w:pPr>
        <w:ind w:left="720"/>
        <w:rPr>
          <w:rFonts w:ascii="Arial" w:hAnsi="Arial" w:cs="Arial"/>
          <w:szCs w:val="24"/>
        </w:rPr>
      </w:pPr>
    </w:p>
    <w:p w14:paraId="619E4385" w14:textId="77777777" w:rsidR="00EF4DB7" w:rsidRPr="00B90436" w:rsidRDefault="00EF4DB7" w:rsidP="00B40B5E">
      <w:pPr>
        <w:pStyle w:val="ListParagraph"/>
        <w:widowControl/>
        <w:numPr>
          <w:ilvl w:val="0"/>
          <w:numId w:val="19"/>
        </w:numPr>
        <w:ind w:left="1440"/>
        <w:rPr>
          <w:rFonts w:ascii="Arial" w:hAnsi="Arial" w:cs="Arial"/>
          <w:szCs w:val="24"/>
        </w:rPr>
      </w:pPr>
      <w:r w:rsidRPr="00B90436">
        <w:rPr>
          <w:rFonts w:ascii="Arial" w:hAnsi="Arial" w:cs="Arial"/>
          <w:szCs w:val="24"/>
        </w:rPr>
        <w:t>Permit the occupancy of any of the residential units except by members of the Borrower, or sublessees approved by the Borrower, and pursuant to a sublease in a form approved by HUD.</w:t>
      </w:r>
    </w:p>
    <w:p w14:paraId="0F912933" w14:textId="77777777" w:rsidR="00EF4DB7" w:rsidRPr="00B90436" w:rsidRDefault="00EF4DB7" w:rsidP="00B40B5E">
      <w:pPr>
        <w:ind w:left="720"/>
        <w:rPr>
          <w:rFonts w:ascii="Arial" w:hAnsi="Arial" w:cs="Arial"/>
          <w:szCs w:val="24"/>
        </w:rPr>
      </w:pPr>
    </w:p>
    <w:p w14:paraId="4EE641DF" w14:textId="77777777" w:rsidR="00EF4DB7" w:rsidRPr="00B90436" w:rsidRDefault="00EF4DB7" w:rsidP="00B40B5E">
      <w:pPr>
        <w:pStyle w:val="ListParagraph"/>
        <w:widowControl/>
        <w:numPr>
          <w:ilvl w:val="0"/>
          <w:numId w:val="19"/>
        </w:numPr>
        <w:ind w:left="1440"/>
        <w:rPr>
          <w:rFonts w:ascii="Arial" w:hAnsi="Arial" w:cs="Arial"/>
          <w:szCs w:val="24"/>
        </w:rPr>
      </w:pPr>
      <w:r w:rsidRPr="00B90436">
        <w:rPr>
          <w:rFonts w:ascii="Arial" w:hAnsi="Arial" w:cs="Arial"/>
          <w:szCs w:val="24"/>
        </w:rPr>
        <w:t>Consolidate or merge the Borrower into any other corporation; liquidate or dissolve the Borrower, enter into any reorganization of the Borrower, change the capital structure of the Borrower, or alter or amend the Bylaws of the Borrower.</w:t>
      </w:r>
    </w:p>
    <w:p w14:paraId="7279F8A0" w14:textId="77777777" w:rsidR="00EF4DB7" w:rsidRPr="00B90436" w:rsidRDefault="00EF4DB7" w:rsidP="00B40B5E">
      <w:pPr>
        <w:ind w:left="720"/>
        <w:rPr>
          <w:rFonts w:ascii="Arial" w:hAnsi="Arial" w:cs="Arial"/>
          <w:szCs w:val="24"/>
        </w:rPr>
      </w:pPr>
    </w:p>
    <w:p w14:paraId="4C44128D" w14:textId="77777777" w:rsidR="00EF4DB7" w:rsidRPr="00B90436" w:rsidRDefault="00EF4DB7" w:rsidP="00B40B5E">
      <w:pPr>
        <w:pStyle w:val="ListParagraph"/>
        <w:widowControl/>
        <w:numPr>
          <w:ilvl w:val="0"/>
          <w:numId w:val="19"/>
        </w:numPr>
        <w:ind w:left="1440"/>
        <w:rPr>
          <w:rFonts w:ascii="Arial" w:hAnsi="Arial" w:cs="Arial"/>
          <w:szCs w:val="24"/>
        </w:rPr>
      </w:pPr>
      <w:r w:rsidRPr="00B90436">
        <w:rPr>
          <w:rFonts w:ascii="Arial" w:hAnsi="Arial" w:cs="Arial"/>
          <w:szCs w:val="24"/>
        </w:rPr>
        <w:t>[For new construction]  Contract for the sale of any membership interest or shares of the Borrower except in accordance with a subscription agreement in a form approved by HUD.</w:t>
      </w:r>
    </w:p>
    <w:p w14:paraId="6A8891F2" w14:textId="77777777" w:rsidR="00EF4DB7" w:rsidRPr="00B90436" w:rsidRDefault="00EF4DB7" w:rsidP="00EF4DB7">
      <w:pPr>
        <w:jc w:val="both"/>
        <w:rPr>
          <w:rFonts w:ascii="Arial" w:hAnsi="Arial" w:cs="Arial"/>
          <w:szCs w:val="24"/>
        </w:rPr>
      </w:pPr>
    </w:p>
    <w:p w14:paraId="411CA92B" w14:textId="49821038" w:rsidR="001E701C" w:rsidRDefault="002E4179" w:rsidP="00EF4DB7">
      <w:pPr>
        <w:jc w:val="both"/>
        <w:rPr>
          <w:rFonts w:ascii="Arial" w:hAnsi="Arial" w:cs="Arial"/>
          <w:szCs w:val="24"/>
        </w:rPr>
      </w:pPr>
      <w:r>
        <w:rPr>
          <w:rFonts w:ascii="Arial" w:hAnsi="Arial" w:cs="Arial"/>
          <w:szCs w:val="24"/>
        </w:rPr>
        <w:t>[</w:t>
      </w:r>
      <w:r w:rsidR="00B10B9E">
        <w:rPr>
          <w:rFonts w:ascii="Arial" w:hAnsi="Arial" w:cs="Arial"/>
          <w:szCs w:val="24"/>
        </w:rPr>
        <w:t xml:space="preserve">C. </w:t>
      </w:r>
      <w:r w:rsidR="00EF4DB7" w:rsidRPr="00B90436">
        <w:rPr>
          <w:rFonts w:ascii="Arial" w:hAnsi="Arial" w:cs="Arial"/>
          <w:szCs w:val="24"/>
        </w:rPr>
        <w:t>Insert</w:t>
      </w:r>
      <w:r w:rsidR="001E701C">
        <w:rPr>
          <w:rFonts w:ascii="Arial" w:hAnsi="Arial" w:cs="Arial"/>
          <w:szCs w:val="24"/>
        </w:rPr>
        <w:t>,</w:t>
      </w:r>
      <w:r w:rsidR="00EF4DB7" w:rsidRPr="00B90436">
        <w:rPr>
          <w:rFonts w:ascii="Arial" w:hAnsi="Arial" w:cs="Arial"/>
          <w:szCs w:val="24"/>
        </w:rPr>
        <w:t xml:space="preserve"> </w:t>
      </w:r>
      <w:r w:rsidR="001E0E9D">
        <w:rPr>
          <w:rFonts w:ascii="Arial" w:hAnsi="Arial" w:cs="Arial"/>
          <w:szCs w:val="24"/>
        </w:rPr>
        <w:t>as</w:t>
      </w:r>
      <w:r w:rsidR="00EF4DB7" w:rsidRPr="00B90436">
        <w:rPr>
          <w:rFonts w:ascii="Arial" w:hAnsi="Arial" w:cs="Arial"/>
          <w:szCs w:val="24"/>
        </w:rPr>
        <w:t xml:space="preserve"> applicable: </w:t>
      </w:r>
    </w:p>
    <w:p w14:paraId="2EB08338" w14:textId="77777777" w:rsidR="001E701C" w:rsidRDefault="001E701C" w:rsidP="00EF4DB7">
      <w:pPr>
        <w:jc w:val="both"/>
        <w:rPr>
          <w:rFonts w:ascii="Arial" w:hAnsi="Arial" w:cs="Arial"/>
          <w:szCs w:val="24"/>
        </w:rPr>
      </w:pPr>
    </w:p>
    <w:p w14:paraId="7380FBA1" w14:textId="0392B82F" w:rsidR="00EF4DB7" w:rsidRPr="00B90436" w:rsidRDefault="00EF4DB7" w:rsidP="001E701C">
      <w:pPr>
        <w:ind w:left="720"/>
        <w:jc w:val="both"/>
        <w:rPr>
          <w:rFonts w:ascii="Arial" w:hAnsi="Arial" w:cs="Arial"/>
          <w:szCs w:val="24"/>
        </w:rPr>
      </w:pPr>
      <w:r w:rsidRPr="00B90436">
        <w:rPr>
          <w:rFonts w:ascii="Arial" w:hAnsi="Arial" w:cs="Arial"/>
          <w:szCs w:val="24"/>
        </w:rPr>
        <w:t xml:space="preserve">54. Cooperative projects regulated under State or local law must comply with Program Obligations as well as any and all State or local regulatory requirements.]  </w:t>
      </w:r>
      <w:r w:rsidRPr="00B90436">
        <w:rPr>
          <w:rFonts w:ascii="Arial" w:hAnsi="Arial" w:cs="Arial"/>
          <w:szCs w:val="24"/>
        </w:rPr>
        <w:tab/>
      </w:r>
    </w:p>
    <w:p w14:paraId="161EB063" w14:textId="77777777" w:rsidR="008C17A6" w:rsidRDefault="008C17A6">
      <w:pPr>
        <w:widowControl/>
        <w:rPr>
          <w:rFonts w:ascii="Arial" w:hAnsi="Arial" w:cs="Arial"/>
        </w:rPr>
      </w:pPr>
      <w:r>
        <w:rPr>
          <w:rFonts w:ascii="Arial" w:hAnsi="Arial" w:cs="Arial"/>
        </w:rPr>
        <w:br w:type="page"/>
      </w:r>
    </w:p>
    <w:p w14:paraId="73897902" w14:textId="75B8D520" w:rsidR="008C17A6" w:rsidRDefault="008C17A6" w:rsidP="008C17A6">
      <w:pPr>
        <w:spacing w:line="240" w:lineRule="atLeast"/>
        <w:rPr>
          <w:rFonts w:ascii="Arial" w:hAnsi="Arial" w:cs="Arial"/>
        </w:rPr>
      </w:pPr>
      <w:r>
        <w:rPr>
          <w:rFonts w:ascii="Arial" w:hAnsi="Arial" w:cs="Arial"/>
        </w:rPr>
        <w:lastRenderedPageBreak/>
        <w:t xml:space="preserve">{The following statement must appear on the same page as the </w:t>
      </w:r>
      <w:proofErr w:type="gramStart"/>
      <w:r>
        <w:rPr>
          <w:rFonts w:ascii="Arial" w:hAnsi="Arial" w:cs="Arial"/>
        </w:rPr>
        <w:t>executed signature</w:t>
      </w:r>
      <w:proofErr w:type="gramEnd"/>
      <w:r>
        <w:rPr>
          <w:rFonts w:ascii="Arial" w:hAnsi="Arial" w:cs="Arial"/>
        </w:rPr>
        <w:t xml:space="preserve"> for the </w:t>
      </w:r>
      <w:proofErr w:type="gramStart"/>
      <w:r>
        <w:rPr>
          <w:rFonts w:ascii="Arial" w:hAnsi="Arial" w:cs="Arial"/>
        </w:rPr>
        <w:t>Borrower.}</w:t>
      </w:r>
      <w:proofErr w:type="gramEnd"/>
      <w:r>
        <w:rPr>
          <w:rFonts w:ascii="Arial" w:hAnsi="Arial" w:cs="Arial"/>
        </w:rPr>
        <w:t xml:space="preserve">  </w:t>
      </w:r>
    </w:p>
    <w:p w14:paraId="4ED52D47" w14:textId="77777777" w:rsidR="006C7E4C" w:rsidRDefault="006C7E4C" w:rsidP="008C17A6">
      <w:pPr>
        <w:spacing w:line="240" w:lineRule="atLeast"/>
        <w:rPr>
          <w:rFonts w:ascii="Arial" w:hAnsi="Arial" w:cs="Arial"/>
        </w:rPr>
      </w:pPr>
    </w:p>
    <w:p w14:paraId="7BF42980" w14:textId="6B41821C" w:rsidR="008C17A6" w:rsidRPr="00BA655A" w:rsidRDefault="008C17A6" w:rsidP="008C17A6">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all of the information provided </w:t>
      </w:r>
      <w:r>
        <w:rPr>
          <w:rFonts w:ascii="Arial" w:hAnsi="Arial" w:cs="Arial"/>
        </w:rPr>
        <w:t xml:space="preserve">in this </w:t>
      </w:r>
      <w:r w:rsidR="006C7E4C">
        <w:rPr>
          <w:rFonts w:ascii="Arial" w:hAnsi="Arial" w:cs="Arial"/>
        </w:rPr>
        <w:t>Rider</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6C7E4C">
        <w:rPr>
          <w:rFonts w:ascii="Arial" w:hAnsi="Arial" w:cs="Arial"/>
        </w:rPr>
        <w:t>Rider</w:t>
      </w:r>
      <w:r>
        <w:rPr>
          <w:rFonts w:ascii="Arial" w:hAnsi="Arial" w:cs="Arial"/>
        </w:rPr>
        <w:t xml:space="preserve">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14:paraId="60E9035E" w14:textId="77777777" w:rsidR="008C17A6" w:rsidRDefault="008C17A6" w:rsidP="008C17A6">
      <w:pPr>
        <w:spacing w:line="240" w:lineRule="atLeast"/>
        <w:rPr>
          <w:rFonts w:ascii="Arial" w:hAnsi="Arial" w:cs="Arial"/>
          <w:b/>
          <w:bCs/>
        </w:rPr>
      </w:pPr>
    </w:p>
    <w:p w14:paraId="66330E54" w14:textId="77777777" w:rsidR="008C17A6" w:rsidRPr="00BA655A" w:rsidRDefault="008C17A6" w:rsidP="008C17A6">
      <w:pPr>
        <w:spacing w:line="240" w:lineRule="atLeast"/>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14:paraId="4FB99CE8" w14:textId="77777777" w:rsidR="008C17A6" w:rsidRPr="00BA655A" w:rsidRDefault="008C17A6" w:rsidP="008C17A6">
      <w:pPr>
        <w:spacing w:line="240" w:lineRule="atLeast"/>
        <w:ind w:left="3600" w:firstLine="720"/>
        <w:rPr>
          <w:rFonts w:ascii="Arial" w:hAnsi="Arial" w:cs="Arial"/>
          <w:color w:val="000000"/>
          <w:szCs w:val="24"/>
        </w:rPr>
      </w:pPr>
    </w:p>
    <w:p w14:paraId="1EC55BCE" w14:textId="77777777" w:rsidR="008C17A6" w:rsidRPr="00BA655A" w:rsidRDefault="008C17A6" w:rsidP="008C17A6">
      <w:pPr>
        <w:tabs>
          <w:tab w:val="left" w:pos="4320"/>
        </w:tabs>
        <w:rPr>
          <w:rFonts w:ascii="Arial" w:hAnsi="Arial" w:cs="Arial"/>
          <w:szCs w:val="24"/>
        </w:rPr>
      </w:pPr>
    </w:p>
    <w:p w14:paraId="145FBA6A" w14:textId="77777777" w:rsidR="008C17A6" w:rsidRPr="00BA655A" w:rsidRDefault="008C17A6" w:rsidP="008C17A6">
      <w:pPr>
        <w:tabs>
          <w:tab w:val="left" w:pos="4320"/>
        </w:tabs>
        <w:ind w:left="4320" w:hanging="4320"/>
        <w:rPr>
          <w:rFonts w:ascii="Arial" w:hAnsi="Arial" w:cs="Arial"/>
          <w:b/>
          <w:szCs w:val="24"/>
        </w:rPr>
      </w:pPr>
    </w:p>
    <w:p w14:paraId="377F4069" w14:textId="77777777" w:rsidR="008C17A6" w:rsidRPr="00BA655A" w:rsidRDefault="008C17A6" w:rsidP="008C17A6">
      <w:pPr>
        <w:tabs>
          <w:tab w:val="left" w:pos="4320"/>
        </w:tabs>
        <w:ind w:left="4320" w:hanging="4320"/>
        <w:rPr>
          <w:rFonts w:ascii="Arial" w:hAnsi="Arial" w:cs="Arial"/>
          <w:b/>
          <w:szCs w:val="24"/>
        </w:rPr>
      </w:pPr>
    </w:p>
    <w:p w14:paraId="27D6D60F" w14:textId="77777777" w:rsidR="008C17A6" w:rsidRPr="00BA655A" w:rsidRDefault="008C17A6" w:rsidP="008C17A6">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Pr="4F422E16">
        <w:rPr>
          <w:rFonts w:ascii="Arial" w:hAnsi="Arial" w:cs="Arial"/>
          <w:b/>
          <w:bCs/>
          <w:caps/>
        </w:rPr>
        <w:t>The United States</w:t>
      </w:r>
      <w:r w:rsidRPr="4F422E16">
        <w:rPr>
          <w:rFonts w:ascii="Arial" w:hAnsi="Arial"/>
          <w:b/>
          <w:bCs/>
          <w:caps/>
        </w:rPr>
        <w:t xml:space="preserve"> DEPARTMENT OF HOUSING AND URBAN DEVELOPMENT</w:t>
      </w:r>
      <w:r w:rsidRPr="4F422E16">
        <w:rPr>
          <w:rFonts w:ascii="Arial" w:hAnsi="Arial" w:cs="Arial"/>
          <w:b/>
          <w:bCs/>
          <w:caps/>
        </w:rPr>
        <w:t xml:space="preserve">, acting by </w:t>
      </w:r>
      <w:r>
        <w:rPr>
          <w:rFonts w:ascii="Arial" w:hAnsi="Arial" w:cs="Arial"/>
          <w:b/>
          <w:bCs/>
          <w:caps/>
        </w:rPr>
        <w:t>AND</w:t>
      </w:r>
      <w:r w:rsidRPr="4F422E16">
        <w:rPr>
          <w:rFonts w:ascii="Arial" w:hAnsi="Arial" w:cs="Arial"/>
          <w:b/>
          <w:bCs/>
          <w:caps/>
        </w:rPr>
        <w:t xml:space="preserve"> through the Secretary</w:t>
      </w:r>
    </w:p>
    <w:p w14:paraId="77DED616" w14:textId="77777777" w:rsidR="008C17A6" w:rsidRPr="00BA655A" w:rsidRDefault="008C17A6" w:rsidP="008C17A6">
      <w:pPr>
        <w:tabs>
          <w:tab w:val="left" w:pos="4320"/>
        </w:tabs>
        <w:rPr>
          <w:rFonts w:ascii="Arial" w:hAnsi="Arial" w:cs="Arial"/>
        </w:rPr>
      </w:pPr>
      <w:r w:rsidRPr="4F422E16">
        <w:rPr>
          <w:rFonts w:ascii="Arial" w:hAnsi="Arial" w:cs="Arial"/>
        </w:rPr>
        <w:t>(insert name)</w:t>
      </w:r>
    </w:p>
    <w:p w14:paraId="3AC805A0" w14:textId="77777777" w:rsidR="008C17A6" w:rsidRPr="00BA655A" w:rsidRDefault="008C17A6" w:rsidP="008C17A6">
      <w:pPr>
        <w:rPr>
          <w:rFonts w:ascii="Arial" w:hAnsi="Arial" w:cs="Arial"/>
          <w:szCs w:val="24"/>
          <w:u w:val="single"/>
        </w:rPr>
      </w:pPr>
    </w:p>
    <w:p w14:paraId="268C99E0" w14:textId="77777777" w:rsidR="008C17A6" w:rsidRPr="00BA655A" w:rsidRDefault="008C17A6" w:rsidP="008C17A6">
      <w:pPr>
        <w:rPr>
          <w:rFonts w:ascii="Arial" w:hAnsi="Arial" w:cs="Arial"/>
          <w:szCs w:val="24"/>
          <w:u w:val="single"/>
        </w:rPr>
      </w:pPr>
    </w:p>
    <w:p w14:paraId="7AF7FC8A" w14:textId="77777777" w:rsidR="008C17A6" w:rsidRPr="00BA655A" w:rsidRDefault="008C17A6" w:rsidP="008C17A6">
      <w:pPr>
        <w:tabs>
          <w:tab w:val="left" w:pos="2880"/>
        </w:tabs>
        <w:rPr>
          <w:rFonts w:ascii="Arial" w:hAnsi="Arial" w:cs="Arial"/>
          <w:u w:val="single"/>
        </w:rPr>
      </w:pPr>
      <w:r w:rsidRPr="4F422E16">
        <w:rPr>
          <w:rFonts w:ascii="Arial" w:hAnsi="Arial" w:cs="Arial"/>
        </w:rPr>
        <w:t>BY:</w:t>
      </w:r>
      <w:r w:rsidRPr="4F422E16">
        <w:rPr>
          <w:rFonts w:ascii="Arial" w:hAnsi="Arial" w:cs="Arial"/>
          <w:u w:val="single"/>
        </w:rPr>
        <w:t>_________________</w:t>
      </w:r>
      <w:r w:rsidRPr="00BA655A">
        <w:rPr>
          <w:rFonts w:ascii="Arial" w:hAnsi="Arial" w:cs="Arial"/>
          <w:szCs w:val="24"/>
          <w:u w:val="single"/>
        </w:rPr>
        <w:tab/>
      </w:r>
      <w:r w:rsidRPr="00BA655A">
        <w:rPr>
          <w:rFonts w:ascii="Arial" w:hAnsi="Arial" w:cs="Arial"/>
          <w:szCs w:val="24"/>
        </w:rPr>
        <w:tab/>
      </w:r>
      <w:r w:rsidRPr="00BA655A">
        <w:rPr>
          <w:rFonts w:ascii="Arial" w:hAnsi="Arial" w:cs="Arial"/>
          <w:szCs w:val="24"/>
        </w:rPr>
        <w:tab/>
      </w:r>
      <w:r w:rsidRPr="4F422E16">
        <w:rPr>
          <w:rFonts w:ascii="Arial" w:hAnsi="Arial" w:cs="Arial"/>
        </w:rPr>
        <w:t>BY:______________________________</w:t>
      </w:r>
    </w:p>
    <w:p w14:paraId="16A035FE" w14:textId="77777777" w:rsidR="008C17A6" w:rsidRPr="00BA655A" w:rsidRDefault="008C17A6" w:rsidP="008C17A6">
      <w:pPr>
        <w:rPr>
          <w:rFonts w:ascii="Arial" w:hAnsi="Arial" w:cs="Arial"/>
          <w:u w:val="single"/>
        </w:rPr>
      </w:pPr>
      <w:r w:rsidRPr="4F422E16">
        <w:rPr>
          <w:rFonts w:ascii="Arial" w:hAnsi="Arial" w:cs="Arial"/>
        </w:rPr>
        <w:t xml:space="preserve">      </w:t>
      </w:r>
      <w:proofErr w:type="gramStart"/>
      <w:r w:rsidRPr="4F422E16">
        <w:rPr>
          <w:rFonts w:ascii="Arial" w:hAnsi="Arial" w:cs="Arial"/>
        </w:rPr>
        <w:t>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w:t>
      </w:r>
      <w:proofErr w:type="gramEnd"/>
      <w:r w:rsidRPr="4F422E16">
        <w:rPr>
          <w:rFonts w:ascii="Arial" w:hAnsi="Arial" w:cs="Arial"/>
        </w:rPr>
        <w:t xml:space="preserve"> Agent</w:t>
      </w:r>
    </w:p>
    <w:p w14:paraId="1B440E7E" w14:textId="77777777" w:rsidR="008C17A6" w:rsidRPr="00BA655A" w:rsidRDefault="008C17A6" w:rsidP="008C17A6">
      <w:pPr>
        <w:tabs>
          <w:tab w:val="left" w:pos="720"/>
          <w:tab w:val="left" w:pos="1440"/>
          <w:tab w:val="left" w:pos="4320"/>
        </w:tabs>
        <w:rPr>
          <w:rFonts w:ascii="Arial" w:hAnsi="Arial" w:cs="Arial"/>
          <w:u w:val="single"/>
        </w:rPr>
      </w:pPr>
      <w:r w:rsidRPr="4F422E16">
        <w:rPr>
          <w:rFonts w:ascii="Arial" w:hAnsi="Arial" w:cs="Arial"/>
        </w:rPr>
        <w:t xml:space="preserve">      Title</w:t>
      </w:r>
    </w:p>
    <w:p w14:paraId="1CECBA9D" w14:textId="77777777" w:rsidR="008C17A6" w:rsidRPr="00BA655A" w:rsidRDefault="008C17A6" w:rsidP="008C17A6">
      <w:pPr>
        <w:tabs>
          <w:tab w:val="left" w:pos="720"/>
          <w:tab w:val="left" w:pos="1440"/>
          <w:tab w:val="left" w:pos="4320"/>
        </w:tabs>
        <w:rPr>
          <w:rFonts w:ascii="Arial" w:hAnsi="Arial" w:cs="Arial"/>
          <w:szCs w:val="24"/>
          <w:u w:val="single"/>
        </w:rPr>
      </w:pPr>
    </w:p>
    <w:p w14:paraId="40BFCD69" w14:textId="77777777" w:rsidR="008C17A6" w:rsidRPr="00BA655A" w:rsidRDefault="008C17A6" w:rsidP="008C17A6">
      <w:pPr>
        <w:rPr>
          <w:rFonts w:ascii="Arial" w:hAnsi="Arial" w:cs="Arial"/>
          <w:szCs w:val="24"/>
        </w:rPr>
      </w:pPr>
    </w:p>
    <w:p w14:paraId="19380DB6" w14:textId="77777777" w:rsidR="008C17A6" w:rsidRPr="00BA655A" w:rsidRDefault="008C17A6" w:rsidP="008C17A6">
      <w:pPr>
        <w:rPr>
          <w:rFonts w:ascii="Arial" w:hAnsi="Arial" w:cs="Arial"/>
          <w:color w:val="000000"/>
          <w:szCs w:val="24"/>
        </w:rPr>
      </w:pPr>
    </w:p>
    <w:p w14:paraId="1672CD6C" w14:textId="77777777" w:rsidR="008C17A6" w:rsidRPr="00BA655A" w:rsidRDefault="008C17A6" w:rsidP="008C17A6">
      <w:pPr>
        <w:spacing w:line="240" w:lineRule="atLeast"/>
        <w:jc w:val="center"/>
        <w:rPr>
          <w:rFonts w:ascii="Arial" w:hAnsi="Arial" w:cs="Arial"/>
          <w:color w:val="000000"/>
        </w:rPr>
      </w:pPr>
      <w:r w:rsidRPr="4F422E16" w:rsidDel="00D43FD9">
        <w:rPr>
          <w:rFonts w:ascii="Arial" w:hAnsi="Arial" w:cs="Arial"/>
          <w:color w:val="000000"/>
        </w:rPr>
        <w:t xml:space="preserve"> </w:t>
      </w:r>
      <w:r w:rsidRPr="4F422E16">
        <w:rPr>
          <w:rFonts w:ascii="Arial" w:hAnsi="Arial" w:cs="Arial"/>
          <w:b/>
          <w:bCs/>
        </w:rPr>
        <w:t>[ADD ADDITIONAL LINES IF MORE THAN TWO SIGNATORIES]</w:t>
      </w:r>
    </w:p>
    <w:p w14:paraId="4D3F5497" w14:textId="77777777" w:rsidR="008C17A6" w:rsidRPr="00BA655A" w:rsidRDefault="008C17A6" w:rsidP="008C17A6">
      <w:pPr>
        <w:spacing w:line="240" w:lineRule="atLeast"/>
        <w:ind w:left="3600" w:firstLine="720"/>
        <w:rPr>
          <w:rFonts w:ascii="Arial" w:hAnsi="Arial" w:cs="Arial"/>
          <w:color w:val="000000"/>
          <w:szCs w:val="24"/>
        </w:rPr>
      </w:pPr>
    </w:p>
    <w:p w14:paraId="119D1314" w14:textId="77777777" w:rsidR="008C17A6" w:rsidRPr="00BA655A" w:rsidRDefault="008C17A6" w:rsidP="008C17A6">
      <w:pPr>
        <w:jc w:val="center"/>
        <w:rPr>
          <w:rFonts w:ascii="Arial" w:hAnsi="Arial" w:cs="Arial"/>
          <w:b/>
          <w:szCs w:val="24"/>
        </w:rPr>
      </w:pPr>
      <w:r>
        <w:rPr>
          <w:rFonts w:ascii="Arial" w:hAnsi="Arial" w:cs="Arial"/>
          <w:b/>
          <w:szCs w:val="24"/>
        </w:rPr>
        <w:t>[</w:t>
      </w:r>
      <w:r w:rsidRPr="00847A06">
        <w:rPr>
          <w:rFonts w:ascii="Arial" w:hAnsi="Arial" w:cs="Arial"/>
          <w:b/>
          <w:szCs w:val="24"/>
        </w:rPr>
        <w:t xml:space="preserve">HUD’s </w:t>
      </w:r>
      <w:r>
        <w:rPr>
          <w:rFonts w:ascii="Arial" w:hAnsi="Arial" w:cs="Arial"/>
          <w:b/>
          <w:szCs w:val="24"/>
        </w:rPr>
        <w:t xml:space="preserve">SIGNATURE PAGE MUST INCLUDE PROJECT NAME, FHA PROJECT NUMBER ALONG WITH TITLE OF FORM] </w:t>
      </w:r>
    </w:p>
    <w:p w14:paraId="364237CA" w14:textId="67B057A2" w:rsidR="00EF4DB7" w:rsidRDefault="00EF4DB7" w:rsidP="00EF4DB7">
      <w:pPr>
        <w:jc w:val="both"/>
        <w:rPr>
          <w:rFonts w:ascii="Arial" w:hAnsi="Arial" w:cs="Arial"/>
          <w:szCs w:val="24"/>
        </w:rPr>
      </w:pPr>
    </w:p>
    <w:p w14:paraId="731EC162" w14:textId="77777777" w:rsidR="008E7F74" w:rsidRPr="00B90436" w:rsidRDefault="008E7F74" w:rsidP="00EF4DB7">
      <w:pPr>
        <w:jc w:val="both"/>
        <w:rPr>
          <w:rFonts w:ascii="Arial" w:hAnsi="Arial" w:cs="Arial"/>
          <w:szCs w:val="24"/>
        </w:rPr>
      </w:pPr>
    </w:p>
    <w:p w14:paraId="7D82158F" w14:textId="77777777" w:rsidR="00CB18B5" w:rsidRPr="00625DA8" w:rsidRDefault="00CB18B5" w:rsidP="00CB18B5">
      <w:pPr>
        <w:pStyle w:val="BodyText"/>
        <w:spacing w:after="0"/>
        <w:rPr>
          <w:rFonts w:ascii="Arial" w:hAnsi="Arial" w:cs="Arial"/>
          <w:szCs w:val="24"/>
        </w:rPr>
      </w:pPr>
    </w:p>
    <w:p w14:paraId="7723E3DC" w14:textId="77777777" w:rsidR="003F4A11" w:rsidRPr="00B90436" w:rsidRDefault="003F4A11" w:rsidP="00B43E62">
      <w:pPr>
        <w:rPr>
          <w:rFonts w:ascii="Arial" w:hAnsi="Arial" w:cs="Arial"/>
        </w:rPr>
      </w:pPr>
    </w:p>
    <w:sectPr w:rsidR="003F4A11" w:rsidRPr="00B90436"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9EB4" w14:textId="77777777" w:rsidR="00BC453F" w:rsidRDefault="00BC453F">
      <w:pPr>
        <w:widowControl/>
        <w:spacing w:line="20" w:lineRule="exact"/>
      </w:pPr>
    </w:p>
  </w:endnote>
  <w:endnote w:type="continuationSeparator" w:id="0">
    <w:p w14:paraId="73DFABC1" w14:textId="77777777" w:rsidR="00BC453F" w:rsidRDefault="00BC453F">
      <w:r>
        <w:t xml:space="preserve"> </w:t>
      </w:r>
    </w:p>
  </w:endnote>
  <w:endnote w:type="continuationNotice" w:id="1">
    <w:p w14:paraId="62B0DA2D" w14:textId="77777777" w:rsidR="00BC453F" w:rsidRDefault="00BC45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AED0" w14:textId="77777777" w:rsidR="00EF4DB7" w:rsidRDefault="00EF4DB7" w:rsidP="00663296">
    <w:pPr>
      <w:pStyle w:val="Footer"/>
      <w:rPr>
        <w:rFonts w:ascii="Arial" w:hAnsi="Arial" w:cs="Arial"/>
        <w:sz w:val="20"/>
      </w:rPr>
    </w:pPr>
  </w:p>
  <w:p w14:paraId="46DBDEC7" w14:textId="552C2559" w:rsidR="00EF4DB7" w:rsidRDefault="004145CA" w:rsidP="00663296">
    <w:pPr>
      <w:pStyle w:val="Footer"/>
      <w:rPr>
        <w:rFonts w:ascii="Arial" w:hAnsi="Arial" w:cs="Arial"/>
        <w:sz w:val="20"/>
      </w:rPr>
    </w:pPr>
    <w:r>
      <w:rPr>
        <w:rFonts w:ascii="Arial" w:hAnsi="Arial" w:cs="Arial"/>
        <w:sz w:val="20"/>
      </w:rPr>
      <w:t>Rider</w:t>
    </w:r>
    <w:r w:rsidR="00EF4DB7">
      <w:rPr>
        <w:rFonts w:ascii="Arial" w:hAnsi="Arial" w:cs="Arial"/>
        <w:sz w:val="20"/>
      </w:rPr>
      <w:t xml:space="preserve"> to Regulatory Agreement – </w:t>
    </w:r>
  </w:p>
  <w:p w14:paraId="582376CC" w14:textId="606C25C7" w:rsidR="004145CA" w:rsidRDefault="00EF4DB7" w:rsidP="00663296">
    <w:pPr>
      <w:pStyle w:val="Footer"/>
      <w:rPr>
        <w:rFonts w:ascii="Arial" w:hAnsi="Arial" w:cs="Arial"/>
        <w:sz w:val="20"/>
      </w:rPr>
    </w:pPr>
    <w:r>
      <w:rPr>
        <w:rFonts w:ascii="Arial" w:hAnsi="Arial" w:cs="Arial"/>
        <w:sz w:val="20"/>
      </w:rPr>
      <w:t>Section 213 Cooperatives</w:t>
    </w:r>
    <w:r w:rsidR="004145CA">
      <w:rPr>
        <w:rFonts w:ascii="Arial" w:hAnsi="Arial" w:cs="Arial"/>
        <w:sz w:val="20"/>
      </w:rPr>
      <w:t xml:space="preserve"> </w:t>
    </w:r>
    <w:r>
      <w:rPr>
        <w:rFonts w:ascii="Arial" w:hAnsi="Arial" w:cs="Arial"/>
        <w:sz w:val="20"/>
      </w:rPr>
      <w:tab/>
    </w:r>
    <w:r>
      <w:rPr>
        <w:rFonts w:ascii="Arial" w:hAnsi="Arial" w:cs="Arial"/>
        <w:sz w:val="20"/>
      </w:rPr>
      <w:tab/>
    </w:r>
    <w:r w:rsidRPr="00B434B4">
      <w:rPr>
        <w:rFonts w:ascii="Arial" w:hAnsi="Arial" w:cs="Arial"/>
        <w:sz w:val="20"/>
      </w:rPr>
      <w:t>HUD-9</w:t>
    </w:r>
    <w:r w:rsidR="00AE540F" w:rsidRPr="00AE540F">
      <w:rPr>
        <w:rFonts w:ascii="Arial" w:hAnsi="Arial" w:cs="Arial"/>
        <w:sz w:val="20"/>
      </w:rPr>
      <w:t>5909</w:t>
    </w:r>
    <w:r>
      <w:rPr>
        <w:rFonts w:ascii="Arial" w:hAnsi="Arial" w:cs="Arial"/>
        <w:sz w:val="20"/>
      </w:rPr>
      <w:t>M</w:t>
    </w:r>
  </w:p>
  <w:p w14:paraId="29F79A0D" w14:textId="20115D11" w:rsidR="004145CA" w:rsidRPr="00B434B4" w:rsidRDefault="004145CA" w:rsidP="00663296">
    <w:pPr>
      <w:pStyle w:val="Footer"/>
      <w:rPr>
        <w:rFonts w:ascii="Arial" w:hAnsi="Arial" w:cs="Arial"/>
        <w:spacing w:val="-2"/>
        <w:sz w:val="20"/>
      </w:rPr>
    </w:pPr>
    <w:r w:rsidRPr="00B434B4">
      <w:rPr>
        <w:rFonts w:ascii="Arial" w:hAnsi="Arial" w:cs="Arial"/>
        <w:sz w:val="20"/>
      </w:rPr>
      <w:tab/>
    </w:r>
    <w:r w:rsidRPr="00B434B4">
      <w:rPr>
        <w:rFonts w:ascii="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B38A" w14:textId="77777777" w:rsidR="00BC453F" w:rsidRDefault="00BC453F">
      <w:r>
        <w:separator/>
      </w:r>
    </w:p>
  </w:footnote>
  <w:footnote w:type="continuationSeparator" w:id="0">
    <w:p w14:paraId="1E168A8D" w14:textId="77777777" w:rsidR="00BC453F" w:rsidRDefault="00BC453F">
      <w:r>
        <w:continuationSeparator/>
      </w:r>
    </w:p>
  </w:footnote>
  <w:footnote w:type="continuationNotice" w:id="1">
    <w:p w14:paraId="399173C1" w14:textId="77777777" w:rsidR="00BC453F" w:rsidRDefault="00BC4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E727B2"/>
    <w:multiLevelType w:val="hybridMultilevel"/>
    <w:tmpl w:val="109EB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4193808">
    <w:abstractNumId w:val="14"/>
  </w:num>
  <w:num w:numId="2" w16cid:durableId="204223784">
    <w:abstractNumId w:val="16"/>
  </w:num>
  <w:num w:numId="3" w16cid:durableId="710305742">
    <w:abstractNumId w:val="18"/>
  </w:num>
  <w:num w:numId="4" w16cid:durableId="730268519">
    <w:abstractNumId w:val="7"/>
  </w:num>
  <w:num w:numId="5" w16cid:durableId="1435787294">
    <w:abstractNumId w:val="9"/>
  </w:num>
  <w:num w:numId="6" w16cid:durableId="973757539">
    <w:abstractNumId w:val="5"/>
  </w:num>
  <w:num w:numId="7" w16cid:durableId="1403481276">
    <w:abstractNumId w:val="12"/>
  </w:num>
  <w:num w:numId="8" w16cid:durableId="1973360406">
    <w:abstractNumId w:val="0"/>
  </w:num>
  <w:num w:numId="9" w16cid:durableId="2127581025">
    <w:abstractNumId w:val="6"/>
  </w:num>
  <w:num w:numId="10" w16cid:durableId="1103694209">
    <w:abstractNumId w:val="2"/>
  </w:num>
  <w:num w:numId="11" w16cid:durableId="242226670">
    <w:abstractNumId w:val="1"/>
  </w:num>
  <w:num w:numId="12" w16cid:durableId="268897473">
    <w:abstractNumId w:val="15"/>
  </w:num>
  <w:num w:numId="13" w16cid:durableId="1981104772">
    <w:abstractNumId w:val="11"/>
  </w:num>
  <w:num w:numId="14" w16cid:durableId="2046906995">
    <w:abstractNumId w:val="10"/>
  </w:num>
  <w:num w:numId="15" w16cid:durableId="1505702508">
    <w:abstractNumId w:val="17"/>
  </w:num>
  <w:num w:numId="16" w16cid:durableId="1438255714">
    <w:abstractNumId w:val="4"/>
  </w:num>
  <w:num w:numId="17" w16cid:durableId="349187533">
    <w:abstractNumId w:val="13"/>
  </w:num>
  <w:num w:numId="18" w16cid:durableId="776216282">
    <w:abstractNumId w:val="8"/>
  </w:num>
  <w:num w:numId="19" w16cid:durableId="151128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2675"/>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44B2"/>
    <w:rsid w:val="001404D0"/>
    <w:rsid w:val="00140574"/>
    <w:rsid w:val="00140CE4"/>
    <w:rsid w:val="00144534"/>
    <w:rsid w:val="00147090"/>
    <w:rsid w:val="00152DE7"/>
    <w:rsid w:val="001633B9"/>
    <w:rsid w:val="00166534"/>
    <w:rsid w:val="001800D4"/>
    <w:rsid w:val="00184E3A"/>
    <w:rsid w:val="00192EBD"/>
    <w:rsid w:val="001A056A"/>
    <w:rsid w:val="001A0A58"/>
    <w:rsid w:val="001A50B2"/>
    <w:rsid w:val="001B2239"/>
    <w:rsid w:val="001B2E78"/>
    <w:rsid w:val="001C54CB"/>
    <w:rsid w:val="001C6D04"/>
    <w:rsid w:val="001D0F5A"/>
    <w:rsid w:val="001D1CB9"/>
    <w:rsid w:val="001D415F"/>
    <w:rsid w:val="001D5965"/>
    <w:rsid w:val="001E0E9D"/>
    <w:rsid w:val="001E2795"/>
    <w:rsid w:val="001E4A48"/>
    <w:rsid w:val="001E5B7E"/>
    <w:rsid w:val="001E701C"/>
    <w:rsid w:val="001F2C75"/>
    <w:rsid w:val="001F3D71"/>
    <w:rsid w:val="001F5090"/>
    <w:rsid w:val="00202BAE"/>
    <w:rsid w:val="00206436"/>
    <w:rsid w:val="00207413"/>
    <w:rsid w:val="002147D5"/>
    <w:rsid w:val="00231DB6"/>
    <w:rsid w:val="002324A3"/>
    <w:rsid w:val="00234B2F"/>
    <w:rsid w:val="00237721"/>
    <w:rsid w:val="00247278"/>
    <w:rsid w:val="00251AFE"/>
    <w:rsid w:val="002676AE"/>
    <w:rsid w:val="0028136B"/>
    <w:rsid w:val="00281C4B"/>
    <w:rsid w:val="00282497"/>
    <w:rsid w:val="00284C63"/>
    <w:rsid w:val="002852B6"/>
    <w:rsid w:val="00285DAF"/>
    <w:rsid w:val="0029007A"/>
    <w:rsid w:val="00290269"/>
    <w:rsid w:val="002A0CF2"/>
    <w:rsid w:val="002A21C6"/>
    <w:rsid w:val="002A3F4A"/>
    <w:rsid w:val="002B3923"/>
    <w:rsid w:val="002B66CA"/>
    <w:rsid w:val="002C16A1"/>
    <w:rsid w:val="002C3CF9"/>
    <w:rsid w:val="002C6574"/>
    <w:rsid w:val="002C6861"/>
    <w:rsid w:val="002D3441"/>
    <w:rsid w:val="002D3707"/>
    <w:rsid w:val="002D47B5"/>
    <w:rsid w:val="002E4179"/>
    <w:rsid w:val="002F1F07"/>
    <w:rsid w:val="002F4141"/>
    <w:rsid w:val="002F5D35"/>
    <w:rsid w:val="00303D5B"/>
    <w:rsid w:val="003046EE"/>
    <w:rsid w:val="00307F7A"/>
    <w:rsid w:val="0031028E"/>
    <w:rsid w:val="0032267A"/>
    <w:rsid w:val="00324442"/>
    <w:rsid w:val="00331101"/>
    <w:rsid w:val="003413FF"/>
    <w:rsid w:val="003469FC"/>
    <w:rsid w:val="00365C0C"/>
    <w:rsid w:val="00383B06"/>
    <w:rsid w:val="0039056A"/>
    <w:rsid w:val="00390FDC"/>
    <w:rsid w:val="003922E5"/>
    <w:rsid w:val="00394502"/>
    <w:rsid w:val="0039511F"/>
    <w:rsid w:val="003A0792"/>
    <w:rsid w:val="003A2F11"/>
    <w:rsid w:val="003B1E0B"/>
    <w:rsid w:val="003C2C1E"/>
    <w:rsid w:val="003D0839"/>
    <w:rsid w:val="003D315C"/>
    <w:rsid w:val="003D5525"/>
    <w:rsid w:val="003E4F7C"/>
    <w:rsid w:val="003E5DA8"/>
    <w:rsid w:val="003F4A11"/>
    <w:rsid w:val="003F6CAC"/>
    <w:rsid w:val="003F6DD1"/>
    <w:rsid w:val="00401BF0"/>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97FAD"/>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03AA"/>
    <w:rsid w:val="00675905"/>
    <w:rsid w:val="006C097B"/>
    <w:rsid w:val="006C6FE4"/>
    <w:rsid w:val="006C7E4C"/>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C7BEB"/>
    <w:rsid w:val="007D342B"/>
    <w:rsid w:val="007D6A15"/>
    <w:rsid w:val="007F0850"/>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17A6"/>
    <w:rsid w:val="008C6E39"/>
    <w:rsid w:val="008D6223"/>
    <w:rsid w:val="008E43BE"/>
    <w:rsid w:val="008E7EE9"/>
    <w:rsid w:val="008E7F74"/>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77732"/>
    <w:rsid w:val="00980DBA"/>
    <w:rsid w:val="00992741"/>
    <w:rsid w:val="009A40D8"/>
    <w:rsid w:val="009A4DA1"/>
    <w:rsid w:val="009A4E72"/>
    <w:rsid w:val="009A7833"/>
    <w:rsid w:val="009A7D22"/>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94C3E"/>
    <w:rsid w:val="00AA161B"/>
    <w:rsid w:val="00AA56E5"/>
    <w:rsid w:val="00AA5F04"/>
    <w:rsid w:val="00AB217B"/>
    <w:rsid w:val="00AB7116"/>
    <w:rsid w:val="00AC54DA"/>
    <w:rsid w:val="00AE540F"/>
    <w:rsid w:val="00AF1945"/>
    <w:rsid w:val="00AF32CF"/>
    <w:rsid w:val="00AF5FDB"/>
    <w:rsid w:val="00AF702D"/>
    <w:rsid w:val="00B06CA0"/>
    <w:rsid w:val="00B10B9E"/>
    <w:rsid w:val="00B10F0A"/>
    <w:rsid w:val="00B13EC2"/>
    <w:rsid w:val="00B1593E"/>
    <w:rsid w:val="00B21BBC"/>
    <w:rsid w:val="00B26F8F"/>
    <w:rsid w:val="00B34299"/>
    <w:rsid w:val="00B3463E"/>
    <w:rsid w:val="00B355D9"/>
    <w:rsid w:val="00B35889"/>
    <w:rsid w:val="00B40B5E"/>
    <w:rsid w:val="00B414F6"/>
    <w:rsid w:val="00B434B4"/>
    <w:rsid w:val="00B43E62"/>
    <w:rsid w:val="00B47043"/>
    <w:rsid w:val="00B5175C"/>
    <w:rsid w:val="00B60801"/>
    <w:rsid w:val="00B620B6"/>
    <w:rsid w:val="00B74958"/>
    <w:rsid w:val="00B74EFC"/>
    <w:rsid w:val="00B766DB"/>
    <w:rsid w:val="00B90436"/>
    <w:rsid w:val="00BA0114"/>
    <w:rsid w:val="00BA489E"/>
    <w:rsid w:val="00BA5E7C"/>
    <w:rsid w:val="00BA5EDD"/>
    <w:rsid w:val="00BA72C7"/>
    <w:rsid w:val="00BB5439"/>
    <w:rsid w:val="00BB5D94"/>
    <w:rsid w:val="00BC1BFA"/>
    <w:rsid w:val="00BC453F"/>
    <w:rsid w:val="00BE2DB7"/>
    <w:rsid w:val="00BE3C50"/>
    <w:rsid w:val="00C05267"/>
    <w:rsid w:val="00C11A23"/>
    <w:rsid w:val="00C16F82"/>
    <w:rsid w:val="00C2207B"/>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18B5"/>
    <w:rsid w:val="00CB59B6"/>
    <w:rsid w:val="00CB65FB"/>
    <w:rsid w:val="00CC5486"/>
    <w:rsid w:val="00CD16E6"/>
    <w:rsid w:val="00CD5AE1"/>
    <w:rsid w:val="00CD6A20"/>
    <w:rsid w:val="00CE14BC"/>
    <w:rsid w:val="00CE6493"/>
    <w:rsid w:val="00CE7C1A"/>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85282"/>
    <w:rsid w:val="00D92339"/>
    <w:rsid w:val="00D94331"/>
    <w:rsid w:val="00DA5E85"/>
    <w:rsid w:val="00DB2667"/>
    <w:rsid w:val="00DC24AA"/>
    <w:rsid w:val="00DC70C8"/>
    <w:rsid w:val="00DC793F"/>
    <w:rsid w:val="00DC79A2"/>
    <w:rsid w:val="00DE6046"/>
    <w:rsid w:val="00DF6880"/>
    <w:rsid w:val="00E0228D"/>
    <w:rsid w:val="00E03A4E"/>
    <w:rsid w:val="00E12593"/>
    <w:rsid w:val="00E142B4"/>
    <w:rsid w:val="00E249CB"/>
    <w:rsid w:val="00E30137"/>
    <w:rsid w:val="00E318DA"/>
    <w:rsid w:val="00E32933"/>
    <w:rsid w:val="00E34920"/>
    <w:rsid w:val="00E430FF"/>
    <w:rsid w:val="00E45546"/>
    <w:rsid w:val="00E5086C"/>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4A1"/>
    <w:rsid w:val="00EB5D18"/>
    <w:rsid w:val="00EC3E84"/>
    <w:rsid w:val="00ED55B4"/>
    <w:rsid w:val="00EE7A56"/>
    <w:rsid w:val="00EF4DB7"/>
    <w:rsid w:val="00EF6DEE"/>
    <w:rsid w:val="00EF7A15"/>
    <w:rsid w:val="00F0329E"/>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2D7F"/>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90FDC"/>
    <w:pPr>
      <w:widowControl/>
      <w:overflowPunct w:val="0"/>
      <w:autoSpaceDE w:val="0"/>
      <w:autoSpaceDN w:val="0"/>
      <w:adjustRightInd w:val="0"/>
      <w:spacing w:after="120"/>
      <w:textAlignment w:val="baseline"/>
    </w:pPr>
    <w:rPr>
      <w:rFonts w:ascii="Verdana" w:hAnsi="Verdana"/>
      <w:color w:val="000000"/>
    </w:rPr>
  </w:style>
  <w:style w:type="character" w:customStyle="1" w:styleId="BodyTextChar">
    <w:name w:val="Body Text Char"/>
    <w:basedOn w:val="DefaultParagraphFont"/>
    <w:link w:val="BodyText"/>
    <w:rsid w:val="00390FDC"/>
    <w:rPr>
      <w:rFonts w:ascii="Verdana"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HUDDASMFH-455348390-34728</_dlc_DocId>
    <_dlc_DocIdUrl xmlns="d4a638c4-874f-49c0-bb2b-5cb8563c2b18">
      <Url>https://hudgov.sharepoint.com/sites/DASMFH/OMFP/TECH/_layouts/15/DocIdRedir.aspx?ID=HUDDASMFH-455348390-34728</Url>
      <Description>HUDDASMFH-455348390-34728</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85F83F03-9AD8-46E5-840E-56F747EA248E}">
  <ds:schemaRefs>
    <ds:schemaRef ds:uri="http://schemas.openxmlformats.org/officeDocument/2006/bibliography"/>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69E8CFF5-F567-4050-9ED9-25FBF15BBDED}">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5.xml><?xml version="1.0" encoding="utf-8"?>
<ds:datastoreItem xmlns:ds="http://schemas.openxmlformats.org/officeDocument/2006/customXml" ds:itemID="{B1C59370-0A2F-4E6A-8E27-E0C353D65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2019-11-29T16:06:00Z</dcterms:created>
  <dcterms:modified xsi:type="dcterms:W3CDTF">2025-09-08T20:36:00Z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7b9367aa-fc57-4fbe-8c22-75562160abb8</vt:lpwstr>
  </property>
  <property fmtid="{D5CDD505-2E9C-101B-9397-08002B2CF9AE}" pid="4" name="MediaServiceImageTags">
    <vt:lpwstr/>
  </property>
</Properties>
</file>