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media/image1.jpg" ContentType="image/jpg"/>
  <Override PartName="/word/media/image2.jpg" ContentType="image/jpg"/>
  <Override PartName="/word/media/image3.png" ContentType="image/png"/>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body>
    <w:p>
      <w:pPr>
        <w:spacing w:before="31" w:after="0" w:line="207" w:lineRule="exact"/>
        <w:ind w:right="0" w:left="0" w:firstLine="0"/>
        <w:jc w:val="center"/>
        <w:textAlignment w:val="baseline"/>
        <w:rPr>
          <w:rFonts w:ascii="Arial" w:hAnsi="Arial" w:eastAsia="Arial"/>
          <w:color w:val="000000"/>
          <w:spacing w:val="-4"/>
          <w:w w:val="100"/>
          <w:sz w:val="19"/>
          <w:vertAlign w:val="baseline"/>
          <w:lang w:val="en-US"/>
        </w:rPr>
      </w:pPr>
      <w:r>
        <w:rPr>
          <w:rFonts w:ascii="Arial" w:hAnsi="Arial" w:eastAsia="Arial"/>
          <w:color w:val="000000"/>
          <w:spacing w:val="-4"/>
          <w:w w:val="100"/>
          <w:sz w:val="19"/>
          <w:vertAlign w:val="baseline"/>
          <w:lang w:val="en-US"/>
        </w:rPr>
        <w:t xml:space="preserve">U.S. DEPARTMENT OF HOUSING AND URBAN DEVELOPMENT</w:t>
      </w:r>
    </w:p>
    <w:p>
      <w:pPr>
        <w:spacing w:before="40" w:after="0" w:line="198" w:lineRule="exact"/>
        <w:ind w:right="0" w:left="0" w:firstLine="0"/>
        <w:jc w:val="center"/>
        <w:textAlignment w:val="baseline"/>
        <w:rPr>
          <w:rFonts w:ascii="Arial" w:hAnsi="Arial" w:eastAsia="Arial"/>
          <w:color w:val="000000"/>
          <w:spacing w:val="-5"/>
          <w:w w:val="100"/>
          <w:sz w:val="19"/>
          <w:vertAlign w:val="baseline"/>
          <w:lang w:val="en-US"/>
        </w:rPr>
      </w:pPr>
      <w:r>
        <w:rPr>
          <w:rFonts w:ascii="Arial" w:hAnsi="Arial" w:eastAsia="Arial"/>
          <w:color w:val="000000"/>
          <w:spacing w:val="-5"/>
          <w:w w:val="100"/>
          <w:sz w:val="19"/>
          <w:vertAlign w:val="baseline"/>
          <w:lang w:val="en-US"/>
        </w:rPr>
        <w:t xml:space="preserve">THE SECRETARY</w:t>
      </w:r>
    </w:p>
    <w:p>
      <w:pPr>
        <w:spacing w:before="40" w:after="0" w:line="198" w:lineRule="exact"/>
        <w:ind w:right="0" w:left="0" w:firstLine="0"/>
        <w:jc w:val="center"/>
        <w:textAlignment w:val="baseline"/>
        <w:rPr>
          <w:rFonts w:ascii="Arial" w:hAnsi="Arial" w:eastAsia="Arial"/>
          <w:color w:val="000000"/>
          <w:spacing w:val="-5"/>
          <w:w w:val="100"/>
          <w:sz w:val="19"/>
          <w:vertAlign w:val="baseline"/>
          <w:lang w:val="en-US"/>
        </w:rPr>
      </w:pPr>
      <w:r>
        <w:rPr>
          <w:rFonts w:ascii="Arial" w:hAnsi="Arial" w:eastAsia="Arial"/>
          <w:color w:val="000000"/>
          <w:spacing w:val="-5"/>
          <w:w w:val="100"/>
          <w:sz w:val="19"/>
          <w:vertAlign w:val="baseline"/>
          <w:lang w:val="en-US"/>
        </w:rPr>
        <w:t xml:space="preserve">WASHINGTON, D.C. 20410-0O01</w:t>
      </w:r>
    </w:p>
    <w:p>
      <w:pPr>
        <w:spacing w:before="145" w:after="0" w:line="268" w:lineRule="exact"/>
        <w:ind w:right="0" w:left="0" w:firstLine="0"/>
        <w:jc w:val="center"/>
        <w:textAlignment w:val="baseline"/>
        <w:rPr>
          <w:rFonts w:ascii="Verdana" w:hAnsi="Verdana" w:eastAsia="Verdana"/>
          <w:color w:val="000000"/>
          <w:spacing w:val="29"/>
          <w:w w:val="100"/>
          <w:sz w:val="22"/>
          <w:vertAlign w:val="baseline"/>
          <w:lang w:val="en-US"/>
        </w:rPr>
      </w:pPr>
      <w:r>
        <w:rPr>
          <w:rFonts w:ascii="Verdana" w:hAnsi="Verdana" w:eastAsia="Verdana"/>
          <w:color w:val="000000"/>
          <w:spacing w:val="29"/>
          <w:w w:val="100"/>
          <w:sz w:val="22"/>
          <w:vertAlign w:val="baseline"/>
          <w:lang w:val="en-US"/>
        </w:rPr>
        <w:t xml:space="preserve">April 28, </w:t>
      </w:r>
      <w:r>
        <w:rPr>
          <w:rFonts w:ascii="Bookman Old Style" w:hAnsi="Bookman Old Style" w:eastAsia="Bookman Old Style"/>
          <w:color w:val="000000"/>
          <w:spacing w:val="29"/>
          <w:w w:val="100"/>
          <w:sz w:val="22"/>
          <w:vertAlign w:val="baseline"/>
          <w:lang w:val="en-US"/>
        </w:rPr>
        <w:t xml:space="preserve">1992</w:t>
      </w:r>
    </w:p>
    <w:p>
      <w:pPr>
        <w:spacing w:before="269" w:after="0" w:line="265" w:lineRule="exact"/>
        <w:ind w:right="0" w:left="144" w:firstLine="0"/>
        <w:jc w:val="left"/>
        <w:textAlignment w:val="baseline"/>
        <w:rPr>
          <w:rFonts w:ascii="Courier New" w:hAnsi="Courier New" w:eastAsia="Courier New"/>
          <w:color w:val="000000"/>
          <w:spacing w:val="-11"/>
          <w:w w:val="100"/>
          <w:sz w:val="26"/>
          <w:vertAlign w:val="baseline"/>
          <w:lang w:val="en-US"/>
        </w:rPr>
      </w:pPr>
      <w:r>
        <w:rPr>
          <w:rFonts w:ascii="Courier New" w:hAnsi="Courier New" w:eastAsia="Courier New"/>
          <w:color w:val="000000"/>
          <w:spacing w:val="-11"/>
          <w:w w:val="100"/>
          <w:sz w:val="26"/>
          <w:vertAlign w:val="baseline"/>
          <w:lang w:val="en-US"/>
        </w:rPr>
        <w:t xml:space="preserve">Honorable Arne </w:t>
      </w:r>
      <w:r>
        <w:rPr>
          <w:rFonts w:ascii="Courier New" w:hAnsi="Courier New" w:eastAsia="Courier New"/>
          <w:i w:val="true"/>
          <w:color w:val="000000"/>
          <w:spacing w:val="-11"/>
          <w:w w:val="100"/>
          <w:sz w:val="26"/>
          <w:vertAlign w:val="baseline"/>
          <w:lang w:val="en-US"/>
        </w:rPr>
        <w:t xml:space="preserve">H. </w:t>
      </w:r>
      <w:r>
        <w:rPr>
          <w:rFonts w:ascii="Courier New" w:hAnsi="Courier New" w:eastAsia="Courier New"/>
          <w:color w:val="000000"/>
          <w:spacing w:val="-11"/>
          <w:w w:val="100"/>
          <w:sz w:val="26"/>
          <w:vertAlign w:val="baseline"/>
          <w:lang w:val="en-US"/>
        </w:rPr>
        <w:t xml:space="preserve">Carlson</w:t>
      </w:r>
    </w:p>
    <w:p>
      <w:pPr>
        <w:spacing w:before="0" w:after="0" w:line="224" w:lineRule="exact"/>
        <w:ind w:right="0" w:left="144" w:firstLine="0"/>
        <w:jc w:val="left"/>
        <w:textAlignment w:val="baseline"/>
        <w:rPr>
          <w:rFonts w:ascii="Courier New" w:hAnsi="Courier New" w:eastAsia="Courier New"/>
          <w:color w:val="000000"/>
          <w:spacing w:val="-12"/>
          <w:w w:val="100"/>
          <w:sz w:val="26"/>
          <w:vertAlign w:val="baseline"/>
          <w:lang w:val="en-US"/>
        </w:rPr>
      </w:pPr>
      <w:r>
        <w:rPr>
          <w:rFonts w:ascii="Courier New" w:hAnsi="Courier New" w:eastAsia="Courier New"/>
          <w:color w:val="000000"/>
          <w:spacing w:val="-12"/>
          <w:w w:val="100"/>
          <w:sz w:val="26"/>
          <w:vertAlign w:val="baseline"/>
          <w:lang w:val="en-US"/>
        </w:rPr>
        <w:t xml:space="preserve">Governor of Minnesota</w:t>
      </w:r>
    </w:p>
    <w:p>
      <w:pPr>
        <w:spacing w:before="0" w:after="0" w:line="248" w:lineRule="exact"/>
        <w:ind w:right="0" w:left="144" w:firstLine="0"/>
        <w:jc w:val="left"/>
        <w:textAlignment w:val="baseline"/>
        <w:rPr>
          <w:rFonts w:ascii="Courier New" w:hAnsi="Courier New" w:eastAsia="Courier New"/>
          <w:color w:val="000000"/>
          <w:spacing w:val="-6"/>
          <w:w w:val="100"/>
          <w:sz w:val="26"/>
          <w:vertAlign w:val="baseline"/>
          <w:lang w:val="en-US"/>
        </w:rPr>
      </w:pPr>
      <w:r>
        <w:rPr>
          <w:rFonts w:ascii="Courier New" w:hAnsi="Courier New" w:eastAsia="Courier New"/>
          <w:color w:val="000000"/>
          <w:spacing w:val="-6"/>
          <w:w w:val="100"/>
          <w:sz w:val="26"/>
          <w:vertAlign w:val="baseline"/>
          <w:lang w:val="en-US"/>
        </w:rPr>
        <w:t xml:space="preserve">St. Paul, Minnesota 55155</w:t>
      </w:r>
    </w:p>
    <w:p>
      <w:pPr>
        <w:spacing w:before="230" w:after="0" w:line="257" w:lineRule="exact"/>
        <w:ind w:right="0" w:left="144" w:firstLine="0"/>
        <w:jc w:val="left"/>
        <w:textAlignment w:val="baseline"/>
        <w:rPr>
          <w:rFonts w:ascii="Courier New" w:hAnsi="Courier New" w:eastAsia="Courier New"/>
          <w:color w:val="000000"/>
          <w:spacing w:val="-13"/>
          <w:w w:val="100"/>
          <w:sz w:val="26"/>
          <w:vertAlign w:val="baseline"/>
          <w:lang w:val="en-US"/>
        </w:rPr>
      </w:pPr>
      <w:r>
        <w:rPr>
          <w:rFonts w:ascii="Courier New" w:hAnsi="Courier New" w:eastAsia="Courier New"/>
          <w:color w:val="000000"/>
          <w:spacing w:val="-13"/>
          <w:w w:val="100"/>
          <w:sz w:val="26"/>
          <w:vertAlign w:val="baseline"/>
          <w:lang w:val="en-US"/>
        </w:rPr>
        <w:t xml:space="preserve">Dear Governor Carlson:</w:t>
      </w:r>
    </w:p>
    <w:p>
      <w:pPr>
        <w:spacing w:before="245" w:after="0" w:line="244" w:lineRule="exact"/>
        <w:ind w:right="792" w:left="144" w:firstLine="720"/>
        <w:jc w:val="left"/>
        <w:textAlignment w:val="baseline"/>
        <w:rPr>
          <w:rFonts w:ascii="Courier New" w:hAnsi="Courier New" w:eastAsia="Courier New"/>
          <w:color w:val="000000"/>
          <w:spacing w:val="0"/>
          <w:w w:val="95"/>
          <w:sz w:val="26"/>
          <w:vertAlign w:val="baseline"/>
          <w:lang w:val="en-US"/>
        </w:rPr>
      </w:pPr>
      <w:r>
        <w:rPr>
          <w:rFonts w:ascii="Courier New" w:hAnsi="Courier New" w:eastAsia="Courier New"/>
          <w:color w:val="000000"/>
          <w:spacing w:val="0"/>
          <w:w w:val="95"/>
          <w:sz w:val="26"/>
          <w:vertAlign w:val="baseline"/>
          <w:lang w:val="en-US"/>
        </w:rPr>
        <w:t xml:space="preserve">I am happy to advise you of a new public housing "due process determination" for the State of Minnesota.</w:t>
      </w:r>
    </w:p>
    <w:p>
      <w:pPr>
        <w:spacing w:before="228" w:after="0" w:line="241" w:lineRule="exact"/>
        <w:ind w:right="144" w:left="144" w:firstLine="720"/>
        <w:jc w:val="left"/>
        <w:textAlignment w:val="baseline"/>
        <w:rPr>
          <w:rFonts w:ascii="Courier New" w:hAnsi="Courier New" w:eastAsia="Courier New"/>
          <w:color w:val="000000"/>
          <w:spacing w:val="-7"/>
          <w:w w:val="95"/>
          <w:sz w:val="26"/>
          <w:vertAlign w:val="baseline"/>
          <w:lang w:val="en-US"/>
        </w:rPr>
      </w:pPr>
      <w:r>
        <w:rPr>
          <w:rFonts w:ascii="Courier New" w:hAnsi="Courier New" w:eastAsia="Courier New"/>
          <w:color w:val="000000"/>
          <w:spacing w:val="-7"/>
          <w:w w:val="95"/>
          <w:sz w:val="26"/>
          <w:vertAlign w:val="baseline"/>
          <w:lang w:val="en-US"/>
        </w:rPr>
        <w:t xml:space="preserve">Under Federal law, if the Secretary of the Department of Housing and Urban Development (HUD) determines that the law of the jurisdiction requires a pre-eviction court hearing with the basic "elements of due process" (42 U.S.C. 1437d(k), as amended in 1990), a public housing agency (PHA) is not required to provide an administrative grievance hearing before evicting a public housing tenant for:</w:t>
      </w:r>
    </w:p>
    <w:p>
      <w:pPr>
        <w:numPr>
          <w:ilvl w:val="0"/>
          <w:numId w:val="1"/>
        </w:numPr>
        <w:tabs>
          <w:tab w:val="clear" w:pos="720"/>
          <w:tab w:val="left" w:pos="1584"/>
        </w:tabs>
        <w:spacing w:before="232" w:after="0" w:line="238" w:lineRule="exact"/>
        <w:ind w:right="72" w:left="1584" w:hanging="720"/>
        <w:jc w:val="left"/>
        <w:textAlignment w:val="baseline"/>
        <w:rPr>
          <w:rFonts w:ascii="Courier New" w:hAnsi="Courier New" w:eastAsia="Courier New"/>
          <w:color w:val="000000"/>
          <w:spacing w:val="-9"/>
          <w:w w:val="95"/>
          <w:sz w:val="26"/>
          <w:vertAlign w:val="baseline"/>
          <w:lang w:val="en-US"/>
        </w:rPr>
      </w:pPr>
      <w:r>
        <w:rPr>
          <w:rFonts w:ascii="Courier New" w:hAnsi="Courier New" w:eastAsia="Courier New"/>
          <w:color w:val="000000"/>
          <w:spacing w:val="-9"/>
          <w:w w:val="95"/>
          <w:sz w:val="26"/>
          <w:vertAlign w:val="baseline"/>
          <w:lang w:val="en-US"/>
        </w:rPr>
        <w:t xml:space="preserve">Any criminal activity that threatens the health, safety, or right to peaceful enjoyment of the premises of other tenants or employees of the PHA; or</w:t>
      </w:r>
    </w:p>
    <w:p>
      <w:pPr>
        <w:numPr>
          <w:ilvl w:val="0"/>
          <w:numId w:val="1"/>
        </w:numPr>
        <w:tabs>
          <w:tab w:val="clear" w:pos="720"/>
          <w:tab w:val="left" w:pos="1584"/>
        </w:tabs>
        <w:spacing w:before="235" w:after="0" w:line="241" w:lineRule="exact"/>
        <w:ind w:right="576" w:left="1584" w:hanging="720"/>
        <w:jc w:val="left"/>
        <w:textAlignment w:val="baseline"/>
        <w:rPr>
          <w:rFonts w:ascii="Courier New" w:hAnsi="Courier New" w:eastAsia="Courier New"/>
          <w:color w:val="000000"/>
          <w:spacing w:val="0"/>
          <w:w w:val="100"/>
          <w:sz w:val="26"/>
          <w:vertAlign w:val="baseline"/>
          <w:lang w:val="en-US"/>
        </w:rPr>
      </w:pPr>
      <w:r>
        <w:rPr>
          <w:rFonts w:ascii="Courier New" w:hAnsi="Courier New" w:eastAsia="Courier New"/>
          <w:color w:val="000000"/>
          <w:spacing w:val="0"/>
          <w:w w:val="100"/>
          <w:sz w:val="26"/>
          <w:vertAlign w:val="baseline"/>
          <w:lang w:val="en-US"/>
        </w:rPr>
        <w:t xml:space="preserve">Any drug-related criminal activity on or near such premises.</w:t>
      </w:r>
    </w:p>
    <w:p>
      <w:pPr>
        <w:spacing w:before="250" w:after="0" w:line="244" w:lineRule="exact"/>
        <w:ind w:right="72" w:left="144" w:firstLine="720"/>
        <w:jc w:val="left"/>
        <w:textAlignment w:val="baseline"/>
        <w:rPr>
          <w:rFonts w:ascii="Courier New" w:hAnsi="Courier New" w:eastAsia="Courier New"/>
          <w:color w:val="000000"/>
          <w:spacing w:val="0"/>
          <w:w w:val="95"/>
          <w:sz w:val="26"/>
          <w:vertAlign w:val="baseline"/>
          <w:lang w:val="en-US"/>
        </w:rPr>
      </w:pPr>
      <w:r>
        <w:rPr>
          <w:rFonts w:ascii="Courier New" w:hAnsi="Courier New" w:eastAsia="Courier New"/>
          <w:color w:val="000000"/>
          <w:spacing w:val="0"/>
          <w:w w:val="95"/>
          <w:sz w:val="26"/>
          <w:vertAlign w:val="baseline"/>
          <w:lang w:val="en-US"/>
        </w:rPr>
        <w:t xml:space="preserve">In accordance with the law, HUD has issued a regulation which revises HUD's definition of due process elements at 24 CFR 966.53(c) (56 Federal Register 51560, October 11, 1991).</w:t>
      </w:r>
    </w:p>
    <w:p>
      <w:pPr>
        <w:spacing w:before="224" w:after="0" w:line="243" w:lineRule="exact"/>
        <w:ind w:right="72" w:left="144" w:firstLine="648"/>
        <w:jc w:val="left"/>
        <w:textAlignment w:val="baseline"/>
        <w:rPr>
          <w:rFonts w:ascii="Courier New" w:hAnsi="Courier New" w:eastAsia="Courier New"/>
          <w:color w:val="000000"/>
          <w:spacing w:val="-8"/>
          <w:w w:val="95"/>
          <w:sz w:val="26"/>
          <w:vertAlign w:val="baseline"/>
          <w:lang w:val="en-US"/>
        </w:rPr>
      </w:pPr>
      <w:r>
        <w:rPr>
          <w:rFonts w:ascii="Courier New" w:hAnsi="Courier New" w:eastAsia="Courier New"/>
          <w:color w:val="000000"/>
          <w:spacing w:val="-8"/>
          <w:w w:val="95"/>
          <w:sz w:val="26"/>
          <w:vertAlign w:val="baseline"/>
          <w:lang w:val="en-US"/>
        </w:rPr>
        <w:t xml:space="preserve">Pursuant to the revised regulation, HUD has determined that the law governing a FED Action in the Minnesota District Courts</w:t>
      </w:r>
    </w:p>
    <w:p>
      <w:pPr>
        <w:spacing w:before="2" w:after="0" w:line="241" w:lineRule="exact"/>
        <w:ind w:right="72" w:left="0" w:firstLine="144"/>
        <w:jc w:val="left"/>
        <w:textAlignment w:val="baseline"/>
        <w:rPr>
          <w:rFonts w:ascii="Courier New" w:hAnsi="Courier New" w:eastAsia="Courier New"/>
          <w:color w:val="000000"/>
          <w:spacing w:val="-6"/>
          <w:w w:val="95"/>
          <w:sz w:val="26"/>
          <w:vertAlign w:val="baseline"/>
          <w:lang w:val="en-US"/>
        </w:rPr>
      </w:pPr>
      <w:r>
        <w:rPr>
          <w:rFonts w:ascii="Courier New" w:hAnsi="Courier New" w:eastAsia="Courier New"/>
          <w:color w:val="000000"/>
          <w:spacing w:val="-6"/>
          <w:w w:val="95"/>
          <w:sz w:val="26"/>
          <w:vertAlign w:val="baseline"/>
          <w:lang w:val="en-US"/>
        </w:rPr>
        <w:t xml:space="preserve">(or in the Housing Courts of Hennepin and Ramsey Counties) under Sections 566.01-.33 of the Minnesota Statutes requires that the tenant have the opportunity for a pre-eviction hearing in court containing the elements of due process as defined in 24 CFR 966.53(c) of the HUD regulations. The basis of this determination is explained in the legal analysis enclosed with this letter.</w:t>
      </w:r>
    </w:p>
    <w:p>
      <w:pPr>
        <w:spacing w:before="254" w:after="0" w:line="239" w:lineRule="exact"/>
        <w:ind w:right="144" w:left="0" w:firstLine="864"/>
        <w:jc w:val="left"/>
        <w:textAlignment w:val="baseline"/>
        <w:rPr>
          <w:rFonts w:ascii="Courier New" w:hAnsi="Courier New" w:eastAsia="Courier New"/>
          <w:color w:val="000000"/>
          <w:spacing w:val="-7"/>
          <w:w w:val="95"/>
          <w:sz w:val="26"/>
          <w:vertAlign w:val="baseline"/>
          <w:lang w:val="en-US"/>
        </w:rPr>
      </w:pPr>
      <w:r>
        <w:rPr>
          <w:rFonts w:ascii="Courier New" w:hAnsi="Courier New" w:eastAsia="Courier New"/>
          <w:color w:val="000000"/>
          <w:spacing w:val="-7"/>
          <w:w w:val="95"/>
          <w:sz w:val="26"/>
          <w:vertAlign w:val="baseline"/>
          <w:lang w:val="en-US"/>
        </w:rPr>
        <w:t xml:space="preserve">In accordance with HUD's determination, a PHA operating public housing in the State of Minnesota may exclude from its administrative grievance procedure any grievance concerning an eviction or termination of tenancy which involves any criminal activity that threatens the health, safety, or right to peaceful enjoyment of the premises of other tenants or employees of the PHA, or any drug-related criminal activity on or near such premises.</w:t>
      </w:r>
    </w:p>
    <w:p>
      <w:pPr>
        <w:sectPr>
          <w:type w:val="nextPage"/>
          <w:pgSz w:w="12240" w:h="15840" w:orient="portrait"/>
          <w:pgMar w:bottom="1444" w:top="1500" w:right="1565" w:left="1315" w:header="720" w:footer="720"/>
          <w:titlePg w:val="false"/>
          <w:textDirection w:val="lrTb"/>
        </w:sectPr>
      </w:pPr>
    </w:p>
    <w:p>
      <w:pPr>
        <w:spacing w:before="501" w:after="0" w:line="243" w:lineRule="exact"/>
        <w:ind w:right="144" w:left="144" w:firstLine="720"/>
        <w:jc w:val="left"/>
        <w:textAlignment w:val="baseline"/>
        <w:rPr>
          <w:rFonts w:ascii="Courier New" w:hAnsi="Courier New" w:eastAsia="Courier New"/>
          <w:color w:val="000000"/>
          <w:spacing w:val="-7"/>
          <w:w w:val="95"/>
          <w:sz w:val="26"/>
          <w:vertAlign w:val="baseline"/>
          <w:lang w:val="en-US"/>
        </w:rPr>
      </w:pPr>
      <w:r>
        <w:pict>
          <v:shapetype id="_x0000_t1" coordsize="21600,21600" o:spt="202" path="m,l,21600r21600,l21600,xe">
            <v:stroke joinstyle="miter"/>
            <v:path gradientshapeok="t" o:connecttype="rect"/>
          </v:shapetype>
          <v:shape id="_x0000_s0" type="#_x0000_t1" filled="f" stroked="f" style="position:absolute;width:315.1pt;height:133.85pt;z-index:-1;margin-left:6.75pt;margin-top:131.4pt;mso-wrap-distance-left:0pt;mso-wrap-distance-right:0pt">
            <w10:wrap type="square"/>
            <v:fill opacity="1" o:opacity2="1" recolor="f" rotate="f" type="solid"/>
            <v:textbox inset="0pt, 0pt, 0pt, 0pt">
              <w:txbxContent/>
            </v:textbox>
          </v:shape>
        </w:pict>
      </w:r>
      <w:r>
        <w:pict>
          <v:shapetype id="_x0000_t2" coordsize="21600,21600" o:spt="202" path="m,l,21600r21600,l21600,xe">
            <v:stroke joinstyle="miter"/>
            <v:path gradientshapeok="t" o:connecttype="rect"/>
          </v:shapetype>
          <v:shape id="_x0000_s1" type="#_x0000_t2" filled="f" stroked="f" style="position:absolute;width:12.3pt;height:13.15pt;z-index:-1;margin-left:515.6pt;margin-top:71.5pt;mso-wrap-distance-left:0pt;mso-wrap-distance-right:0pt;mso-position-horizontal-relative:page;mso-position-vertical-relative:page">
            <w10:wrap type="square" side="both"/>
            <v:fill opacity="1" o:opacity2="1" recolor="f" rotate="f" type="solid"/>
            <v:textbox inset="0pt, 0pt, 0pt, 0pt">
              <w:txbxContent>
                <w:p>
                  <w:pPr>
                    <w:spacing w:before="1" w:after="0" w:line="253" w:lineRule="exact"/>
                    <w:ind w:right="0" w:left="0" w:firstLine="0"/>
                    <w:jc w:val="left"/>
                    <w:textAlignment w:val="baseline"/>
                    <w:rPr>
                      <w:rFonts w:ascii="Courier New" w:hAnsi="Courier New" w:eastAsia="Courier New"/>
                      <w:color w:val="000000"/>
                      <w:spacing w:val="0"/>
                      <w:w w:val="100"/>
                      <w:sz w:val="26"/>
                      <w:vertAlign w:val="baseline"/>
                      <w:lang w:val="en-US"/>
                    </w:rPr>
                  </w:pPr>
                  <w:r>
                    <w:rPr>
                      <w:rFonts w:ascii="Courier New" w:hAnsi="Courier New" w:eastAsia="Courier New"/>
                      <w:color w:val="000000"/>
                      <w:spacing w:val="0"/>
                      <w:w w:val="100"/>
                      <w:sz w:val="26"/>
                      <w:vertAlign w:val="baseline"/>
                      <w:lang w:val="en-US"/>
                    </w:rPr>
                    <w:t xml:space="preserve">2</w:t>
                  </w:r>
                </w:p>
              </w:txbxContent>
            </v:textbox>
          </v:shape>
        </w:pict>
      </w:r>
      <w:r>
        <w:pict>
          <v:shapetype id="_x0000_t3" coordsize="21600,21600" o:spt="202" path="m,l,21600r21600,l21600,xe">
            <v:stroke joinstyle="miter"/>
            <v:path gradientshapeok="t" o:connecttype="rect"/>
          </v:shapetype>
          <v:shape id="_x0000_s2" type="#_x0000_t3" filled="f" stroked="f" style="position:absolute;width:216pt;height:63.3pt;z-index:-1;margin-left:105.85pt;margin-top:131.4pt;mso-wrap-distance-left:0pt;mso-wrap-distance-right:0pt">
            <w10:wrap type="square" side="both"/>
            <v:fill opacity="1" o:opacity2="1" recolor="f" rotate="f" type="solid"/>
            <v:textbox inset="0pt, 0pt, 0pt, 0pt">
              <w:txbxContent>
                <w:p>
                  <w:pPr>
                    <w:spacing w:before="1" w:after="0" w:line="221" w:lineRule="exact"/>
                    <w:ind w:right="0" w:left="0" w:firstLine="0"/>
                    <w:jc w:val="center"/>
                    <w:textAlignment w:val="baseline"/>
                    <w:rPr>
                      <w:rFonts w:ascii="Courier New" w:hAnsi="Courier New" w:eastAsia="Courier New"/>
                      <w:color w:val="000000"/>
                      <w:spacing w:val="-13"/>
                      <w:w w:val="100"/>
                      <w:sz w:val="26"/>
                      <w:vertAlign w:val="baseline"/>
                      <w:lang w:val="en-US"/>
                    </w:rPr>
                  </w:pPr>
                  <w:r>
                    <w:rPr>
                      <w:rFonts w:ascii="Courier New" w:hAnsi="Courier New" w:eastAsia="Courier New"/>
                      <w:color w:val="000000"/>
                      <w:spacing w:val="-13"/>
                      <w:w w:val="100"/>
                      <w:sz w:val="26"/>
                      <w:vertAlign w:val="baseline"/>
                      <w:lang w:val="en-US"/>
                    </w:rPr>
                    <w:t xml:space="preserve">Very sincerely yours,</w:t>
                  </w:r>
                </w:p>
                <w:p>
                  <w:pPr>
                    <w:spacing w:before="0" w:after="680" w:line="1746" w:lineRule="exact"/>
                    <w:ind w:right="0" w:left="0" w:firstLine="0"/>
                    <w:jc w:val="left"/>
                    <w:textAlignment w:val="baseline"/>
                    <w:rPr>
                      <w:rFonts w:ascii="Courier New" w:hAnsi="Courier New" w:eastAsia="Courier New"/>
                      <w:i w:val="true"/>
                      <w:color w:val="000000"/>
                      <w:spacing w:val="259"/>
                      <w:w w:val="100"/>
                      <w:sz w:val="26"/>
                      <w:vertAlign w:val="baseline"/>
                      <w:lang w:val="en-US"/>
                    </w:rPr>
                  </w:pPr>
                  <w:r>
                    <w:rPr>
                      <w:rFonts w:ascii="Courier New" w:hAnsi="Courier New" w:eastAsia="Courier New"/>
                      <w:i w:val="true"/>
                      <w:color w:val="000000"/>
                      <w:spacing w:val="259"/>
                      <w:w w:val="100"/>
                      <w:sz w:val="26"/>
                      <w:vertAlign w:val="baseline"/>
                      <w:lang w:val="en-US"/>
                    </w:rPr>
                    <w:t xml:space="preserve">9</w:t>
                  </w:r>
                  <w:r>
                    <w:rPr>
                      <w:rFonts w:ascii="Courier New" w:hAnsi="Courier New" w:eastAsia="Courier New"/>
                      <w:i w:val="true"/>
                      <w:color w:val="000000"/>
                      <w:spacing w:val="259"/>
                      <w:w w:val="100"/>
                      <w:sz w:val="26"/>
                      <w:vertAlign w:val="superscript"/>
                      <w:lang w:val="en-US"/>
                    </w:rPr>
                    <w:t xml:space="preserve">264</w:t>
                  </w:r>
                  <w:r>
                    <w:rPr>
                      <w:rFonts w:ascii="Courier New" w:hAnsi="Courier New" w:eastAsia="Courier New"/>
                      <w:i w:val="true"/>
                      <w:color w:val="000000"/>
                      <w:spacing w:val="259"/>
                      <w:w w:val="100"/>
                      <w:sz w:val="26"/>
                      <w:vertAlign w:val="baseline"/>
                      <w:lang w:val="en-US"/>
                    </w:rPr>
                    <w:t xml:space="preserve">
</w:t>
                  </w:r>
                </w:p>
              </w:txbxContent>
            </v:textbox>
          </v:shape>
        </w:pict>
      </w:r>
      <w:r>
        <w:pict>
          <v:shapetype id="_x0000_t4" coordsize="21600,21600" o:spt="202" path="m,l,21600r21600,l21600,xe">
            <v:stroke joinstyle="miter"/>
            <v:path gradientshapeok="t" o:connecttype="rect"/>
          </v:shapetype>
          <v:shape id="_x0000_s3" type="#_x0000_t4" filled="f" stroked="f" style="position:absolute;width:65.5pt;height:13.15pt;z-index:-1;margin-left:6.75pt;margin-top:217.1pt;mso-wrap-distance-left:0pt;mso-wrap-distance-right:0pt">
            <w10:wrap type="square" side="both"/>
            <v:fill opacity="1" o:opacity2="1" recolor="f" rotate="f" type="solid"/>
            <v:textbox inset="0pt, 0pt, 0pt, 0pt">
              <w:txbxContent>
                <w:p>
                  <w:pPr>
                    <w:spacing w:before="1" w:after="0" w:line="256" w:lineRule="exact"/>
                    <w:ind w:right="0" w:left="0" w:firstLine="0"/>
                    <w:jc w:val="left"/>
                    <w:textAlignment w:val="baseline"/>
                    <w:rPr>
                      <w:rFonts w:ascii="Courier New" w:hAnsi="Courier New" w:eastAsia="Courier New"/>
                      <w:color w:val="000000"/>
                      <w:spacing w:val="-14"/>
                      <w:w w:val="95"/>
                      <w:sz w:val="26"/>
                      <w:vertAlign w:val="baseline"/>
                      <w:lang w:val="en-US"/>
                    </w:rPr>
                  </w:pPr>
                  <w:r>
                    <w:rPr>
                      <w:rFonts w:ascii="Courier New" w:hAnsi="Courier New" w:eastAsia="Courier New"/>
                      <w:color w:val="000000"/>
                      <w:spacing w:val="-14"/>
                      <w:w w:val="95"/>
                      <w:sz w:val="26"/>
                      <w:vertAlign w:val="baseline"/>
                      <w:lang w:val="en-US"/>
                    </w:rPr>
                    <w:t xml:space="preserve">Enclosure</w:t>
                  </w:r>
                </w:p>
              </w:txbxContent>
            </v:textbox>
          </v:shape>
        </w:pict>
      </w:r>
      <w:r>
        <w:pict>
          <v:shapetype id="_x0000_t5" coordsize="21600,21600" o:spt="202" path="m,l,21600r21600,l21600,xe">
            <v:stroke joinstyle="miter"/>
            <v:path gradientshapeok="t" o:connecttype="rect"/>
          </v:shapetype>
          <v:shape id="_x0000_s4" type="#_x0000_t5" filled="f" stroked="f" style="position:absolute;width:149.05pt;height:9.85pt;z-index:-1;margin-left:172.8pt;margin-top:194.7pt;mso-wrap-distance-left:0pt;mso-wrap-distance-right:0pt">
            <w10:wrap type="square" side="both"/>
            <v:fill opacity="1" o:opacity2="1" recolor="f" rotate="f" type="solid"/>
            <v:textbox inset="0pt, 0pt, 0pt, 0pt">
              <w:txbxContent>
                <w:p>
                  <w:pPr>
                    <w:spacing w:before="0" w:after="0" w:line="187" w:lineRule="exact"/>
                    <w:ind w:right="0" w:left="0" w:firstLine="0"/>
                    <w:jc w:val="left"/>
                    <w:textAlignment w:val="baseline"/>
                    <w:rPr>
                      <w:rFonts w:ascii="Courier New" w:hAnsi="Courier New" w:eastAsia="Courier New"/>
                      <w:color w:val="000000"/>
                      <w:spacing w:val="0"/>
                      <w:w w:val="100"/>
                      <w:sz w:val="26"/>
                      <w:vertAlign w:val="baseline"/>
                      <w:lang w:val="en-US"/>
                    </w:rPr>
                  </w:pPr>
                  <w:r>
                    <w:rPr>
                      <w:rFonts w:ascii="Courier New" w:hAnsi="Courier New" w:eastAsia="Courier New"/>
                      <w:color w:val="000000"/>
                      <w:spacing w:val="0"/>
                      <w:w w:val="100"/>
                      <w:sz w:val="26"/>
                      <w:vertAlign w:val="baseline"/>
                      <w:lang w:val="en-US"/>
                    </w:rPr>
                    <w:t xml:space="preserve">Jac Kemp</w:t>
                  </w:r>
                </w:p>
              </w:txbxContent>
            </v:textbox>
          </v:shape>
        </w:pict>
      </w:r>
      <w:r>
        <w:rPr>
          <w:rFonts w:ascii="Courier New" w:hAnsi="Courier New" w:eastAsia="Courier New"/>
          <w:color w:val="000000"/>
          <w:spacing w:val="-7"/>
          <w:w w:val="95"/>
          <w:sz w:val="26"/>
          <w:vertAlign w:val="baseline"/>
          <w:lang w:val="en-US"/>
        </w:rPr>
        <w:t xml:space="preserve">When a PHA evicts a tenant pursuant to a FED Action in the Minnesota District Courts (or in the Housing Courts of Hennepin and Ramsey Counties) under Sections 566.01-.33 of the Minnesota Statutes for the reasons set forth above, the PHA is not required to afford the tenant the opportunity for an administrative hearing on the eviction under 24 CFR Part 966, and may evict a public housing tenant pursuant to a decision in such judicial action.</w:t>
      </w:r>
    </w:p>
    <w:p>
      <w:pPr>
        <w:sectPr>
          <w:type w:val="nextPage"/>
          <w:pgSz w:w="12240" w:h="15840" w:orient="portrait"/>
          <w:pgMar w:bottom="11123" w:top="1693" w:right="1738" w:left="1142" w:header="720" w:footer="720"/>
          <w:titlePg w:val="false"/>
          <w:textDirection w:val="lrTb"/>
        </w:sectPr>
      </w:pPr>
    </w:p>
    <w:p>
      <w:pPr>
        <w:spacing w:before="527" w:after="0" w:line="257" w:lineRule="exact"/>
        <w:ind w:right="0" w:left="0" w:firstLine="0"/>
        <w:jc w:val="center"/>
        <w:textAlignment w:val="baseline"/>
        <w:rPr>
          <w:rFonts w:ascii="Courier New" w:hAnsi="Courier New" w:eastAsia="Courier New"/>
          <w:color w:val="000000"/>
          <w:spacing w:val="-12"/>
          <w:w w:val="100"/>
          <w:sz w:val="26"/>
          <w:vertAlign w:val="baseline"/>
          <w:lang w:val="en-US"/>
        </w:rPr>
      </w:pPr>
      <w:r>
        <w:pict>
          <v:shapetype id="_x0000_t6" coordsize="21600,21600" o:spt="202" path="m,l,21600r21600,l21600,xe">
            <v:stroke joinstyle="miter"/>
            <v:path gradientshapeok="t" o:connecttype="rect"/>
          </v:shapetype>
          <v:shape id="_x0000_s5" type="#_x0000_t6" filled="f" stroked="f" style="position:absolute;width:31.95pt;height:40.55pt;z-index:-1;margin-left:15.1pt;margin-top:75.35pt;mso-wrap-distance-left:0pt;mso-wrap-distance-right:0pt;mso-position-horizontal-relative:page;mso-position-vertical-relative:page">
            <w10:wrap type="square" side="both"/>
            <v:fill opacity="1" o:opacity2="1" recolor="f" rotate="f" type="solid"/>
            <v:textbox inset="0pt, 0pt, 0pt, 0pt">
              <w:txbxContent>
                <w:p>
                  <w:pPr>
                    <w:spacing w:before="0" w:after="0" w:line="240" w:lineRule="auto"/>
                    <w:ind w:right="0" w:left="0"/>
                    <w:jc w:val="left"/>
                    <w:textAlignment w:val="baseline"/>
                  </w:pPr>
                  <w:r>
                    <w:drawing>
                      <wp:inline>
                        <wp:extent cx="405765" cy="514985"/>
                        <wp:docPr name="Picture" id="1"/>
                        <a:graphic>
                          <a:graphicData uri="http://schemas.openxmlformats.org/drawingml/2006/picture">
                            <pic:pic>
                              <pic:nvPicPr>
                                <pic:cNvPr id="1" name="Picture"/>
                                <pic:cNvPicPr preferRelativeResize="false"/>
                              </pic:nvPicPr>
                              <pic:blipFill>
                                <a:blip r:embed="prId1"/>
                                <a:stretch>
                                  <a:fillRect/>
                                </a:stretch>
                              </pic:blipFill>
                              <pic:spPr>
                                <a:xfrm>
                                  <a:off x="0" y="0"/>
                                  <a:ext cx="405765" cy="514985"/>
                                </a:xfrm>
                                <a:prstGeom prst="rect"/>
                              </pic:spPr>
                            </pic:pic>
                          </a:graphicData>
                        </a:graphic>
                      </wp:inline>
                    </w:drawing>
                  </w:r>
                </w:p>
              </w:txbxContent>
            </v:textbox>
          </v:shape>
        </w:pict>
      </w:r>
      <w:r>
        <w:rPr>
          <w:rFonts w:ascii="Courier New" w:hAnsi="Courier New" w:eastAsia="Courier New"/>
          <w:color w:val="000000"/>
          <w:spacing w:val="-12"/>
          <w:w w:val="100"/>
          <w:sz w:val="26"/>
          <w:vertAlign w:val="baseline"/>
          <w:lang w:val="en-US"/>
        </w:rPr>
        <w:t xml:space="preserve">DUE PROCESS DETERMINATION</w:t>
      </w:r>
    </w:p>
    <w:p>
      <w:pPr>
        <w:spacing w:before="230" w:after="0" w:line="257" w:lineRule="exact"/>
        <w:ind w:right="0" w:left="0" w:firstLine="0"/>
        <w:jc w:val="center"/>
        <w:textAlignment w:val="baseline"/>
        <w:rPr>
          <w:rFonts w:ascii="Courier New" w:hAnsi="Courier New" w:eastAsia="Courier New"/>
          <w:color w:val="000000"/>
          <w:spacing w:val="-9"/>
          <w:w w:val="95"/>
          <w:sz w:val="26"/>
          <w:vertAlign w:val="baseline"/>
          <w:lang w:val="en-US"/>
        </w:rPr>
      </w:pPr>
      <w:r>
        <w:rPr>
          <w:rFonts w:ascii="Courier New" w:hAnsi="Courier New" w:eastAsia="Courier New"/>
          <w:color w:val="000000"/>
          <w:spacing w:val="-9"/>
          <w:w w:val="95"/>
          <w:sz w:val="26"/>
          <w:vertAlign w:val="baseline"/>
          <w:lang w:val="en-US"/>
        </w:rPr>
        <w:t xml:space="preserve">for the</w:t>
      </w:r>
    </w:p>
    <w:p>
      <w:pPr>
        <w:spacing w:before="225" w:after="0" w:line="257" w:lineRule="exact"/>
        <w:ind w:right="0" w:left="0" w:firstLine="0"/>
        <w:jc w:val="center"/>
        <w:textAlignment w:val="baseline"/>
        <w:rPr>
          <w:rFonts w:ascii="Courier New" w:hAnsi="Courier New" w:eastAsia="Courier New"/>
          <w:color w:val="000000"/>
          <w:spacing w:val="-11"/>
          <w:w w:val="100"/>
          <w:sz w:val="26"/>
          <w:vertAlign w:val="baseline"/>
          <w:lang w:val="en-US"/>
        </w:rPr>
      </w:pPr>
      <w:r>
        <w:rPr>
          <w:rFonts w:ascii="Courier New" w:hAnsi="Courier New" w:eastAsia="Courier New"/>
          <w:color w:val="000000"/>
          <w:spacing w:val="-11"/>
          <w:w w:val="100"/>
          <w:sz w:val="26"/>
          <w:vertAlign w:val="baseline"/>
          <w:lang w:val="en-US"/>
        </w:rPr>
        <w:t xml:space="preserve">STATE OF MINNESOTA</w:t>
      </w:r>
    </w:p>
    <w:p>
      <w:pPr>
        <w:spacing w:before="716" w:after="0" w:line="288" w:lineRule="exact"/>
        <w:ind w:right="0" w:left="0" w:firstLine="0"/>
        <w:jc w:val="left"/>
        <w:textAlignment w:val="baseline"/>
        <w:rPr>
          <w:rFonts w:ascii="Courier New" w:hAnsi="Courier New" w:eastAsia="Courier New"/>
          <w:color w:val="000000"/>
          <w:spacing w:val="-12"/>
          <w:w w:val="95"/>
          <w:sz w:val="26"/>
          <w:u w:val="single"/>
          <w:vertAlign w:val="baseline"/>
          <w:lang w:val="en-US"/>
        </w:rPr>
      </w:pPr>
      <w:r>
        <w:rPr>
          <w:rFonts w:ascii="Courier New" w:hAnsi="Courier New" w:eastAsia="Courier New"/>
          <w:color w:val="000000"/>
          <w:spacing w:val="-12"/>
          <w:w w:val="95"/>
          <w:sz w:val="26"/>
          <w:u w:val="single"/>
          <w:vertAlign w:val="baseline"/>
          <w:lang w:val="en-US"/>
        </w:rPr>
        <w:t xml:space="preserve">TABLE OF CONTENTS </w:t>
      </w:r>
    </w:p>
    <w:p>
      <w:pPr>
        <w:numPr>
          <w:ilvl w:val="0"/>
          <w:numId w:val="2"/>
        </w:numPr>
        <w:tabs>
          <w:tab w:val="clear" w:pos="720"/>
          <w:tab w:val="left" w:pos="792"/>
        </w:tabs>
        <w:spacing w:before="197" w:after="0" w:line="248" w:lineRule="exact"/>
        <w:ind w:right="0" w:left="792" w:hanging="720"/>
        <w:jc w:val="left"/>
        <w:textAlignment w:val="baseline"/>
        <w:rPr>
          <w:rFonts w:ascii="Courier New" w:hAnsi="Courier New" w:eastAsia="Courier New"/>
          <w:color w:val="000000"/>
          <w:spacing w:val="-9"/>
          <w:w w:val="95"/>
          <w:sz w:val="26"/>
          <w:vertAlign w:val="baseline"/>
          <w:lang w:val="en-US"/>
        </w:rPr>
      </w:pPr>
      <w:r>
        <w:rPr>
          <w:rFonts w:ascii="Courier New" w:hAnsi="Courier New" w:eastAsia="Courier New"/>
          <w:color w:val="000000"/>
          <w:spacing w:val="-9"/>
          <w:w w:val="95"/>
          <w:sz w:val="26"/>
          <w:vertAlign w:val="baseline"/>
          <w:lang w:val="en-US"/>
        </w:rPr>
        <w:t xml:space="preserve">Jurisdiction.</w:t>
      </w:r>
    </w:p>
    <w:p>
      <w:pPr>
        <w:numPr>
          <w:ilvl w:val="0"/>
          <w:numId w:val="2"/>
        </w:numPr>
        <w:tabs>
          <w:tab w:val="clear" w:pos="720"/>
          <w:tab w:val="left" w:pos="792"/>
        </w:tabs>
        <w:spacing w:before="0" w:after="0" w:line="239" w:lineRule="exact"/>
        <w:ind w:right="0" w:left="792" w:hanging="720"/>
        <w:jc w:val="left"/>
        <w:textAlignment w:val="baseline"/>
        <w:rPr>
          <w:rFonts w:ascii="Courier New" w:hAnsi="Courier New" w:eastAsia="Courier New"/>
          <w:color w:val="000000"/>
          <w:spacing w:val="-7"/>
          <w:w w:val="95"/>
          <w:sz w:val="26"/>
          <w:vertAlign w:val="baseline"/>
          <w:lang w:val="en-US"/>
        </w:rPr>
      </w:pPr>
      <w:r>
        <w:rPr>
          <w:rFonts w:ascii="Courier New" w:hAnsi="Courier New" w:eastAsia="Courier New"/>
          <w:color w:val="000000"/>
          <w:spacing w:val="-7"/>
          <w:w w:val="95"/>
          <w:sz w:val="26"/>
          <w:vertAlign w:val="baseline"/>
          <w:lang w:val="en-US"/>
        </w:rPr>
        <w:t xml:space="preserve">Elements of Due Process.</w:t>
      </w:r>
    </w:p>
    <w:p>
      <w:pPr>
        <w:numPr>
          <w:ilvl w:val="0"/>
          <w:numId w:val="2"/>
        </w:numPr>
        <w:tabs>
          <w:tab w:val="clear" w:pos="720"/>
          <w:tab w:val="left" w:pos="792"/>
        </w:tabs>
        <w:spacing w:before="0" w:after="0" w:line="239" w:lineRule="exact"/>
        <w:ind w:right="0" w:left="792" w:hanging="720"/>
        <w:jc w:val="left"/>
        <w:textAlignment w:val="baseline"/>
        <w:rPr>
          <w:rFonts w:ascii="Courier New" w:hAnsi="Courier New" w:eastAsia="Courier New"/>
          <w:color w:val="000000"/>
          <w:spacing w:val="-6"/>
          <w:w w:val="95"/>
          <w:sz w:val="26"/>
          <w:vertAlign w:val="baseline"/>
          <w:lang w:val="en-US"/>
        </w:rPr>
      </w:pPr>
      <w:r>
        <w:rPr>
          <w:rFonts w:ascii="Courier New" w:hAnsi="Courier New" w:eastAsia="Courier New"/>
          <w:color w:val="000000"/>
          <w:spacing w:val="-6"/>
          <w:w w:val="95"/>
          <w:sz w:val="26"/>
          <w:vertAlign w:val="baseline"/>
          <w:lang w:val="en-US"/>
        </w:rPr>
        <w:t xml:space="preserve">Overview of Minnesota Eviction Procedures.</w:t>
      </w:r>
    </w:p>
    <w:p>
      <w:pPr>
        <w:numPr>
          <w:ilvl w:val="0"/>
          <w:numId w:val="2"/>
        </w:numPr>
        <w:tabs>
          <w:tab w:val="clear" w:pos="720"/>
          <w:tab w:val="left" w:pos="792"/>
        </w:tabs>
        <w:spacing w:before="0" w:after="0" w:line="244" w:lineRule="exact"/>
        <w:ind w:right="2160" w:left="792" w:hanging="720"/>
        <w:jc w:val="left"/>
        <w:textAlignment w:val="baseline"/>
        <w:rPr>
          <w:rFonts w:ascii="Courier New" w:hAnsi="Courier New" w:eastAsia="Courier New"/>
          <w:color w:val="000000"/>
          <w:spacing w:val="-11"/>
          <w:w w:val="95"/>
          <w:sz w:val="26"/>
          <w:vertAlign w:val="baseline"/>
          <w:lang w:val="en-US"/>
        </w:rPr>
      </w:pPr>
      <w:r>
        <w:rPr>
          <w:rFonts w:ascii="Courier New" w:hAnsi="Courier New" w:eastAsia="Courier New"/>
          <w:color w:val="000000"/>
          <w:spacing w:val="-11"/>
          <w:w w:val="95"/>
          <w:sz w:val="26"/>
          <w:vertAlign w:val="baseline"/>
          <w:lang w:val="en-US"/>
        </w:rPr>
        <w:t xml:space="preserve">Analysis of Minnesota Eviction Procedures for Each of the Regulatory Due Process Elements.</w:t>
      </w:r>
    </w:p>
    <w:p>
      <w:pPr>
        <w:numPr>
          <w:ilvl w:val="0"/>
          <w:numId w:val="2"/>
        </w:numPr>
        <w:tabs>
          <w:tab w:val="clear" w:pos="720"/>
          <w:tab w:val="left" w:pos="792"/>
        </w:tabs>
        <w:spacing w:before="0" w:after="0" w:line="252" w:lineRule="exact"/>
        <w:ind w:right="0" w:left="792" w:hanging="720"/>
        <w:jc w:val="left"/>
        <w:textAlignment w:val="baseline"/>
        <w:rPr>
          <w:rFonts w:ascii="Courier New" w:hAnsi="Courier New" w:eastAsia="Courier New"/>
          <w:color w:val="000000"/>
          <w:spacing w:val="-11"/>
          <w:w w:val="95"/>
          <w:sz w:val="26"/>
          <w:vertAlign w:val="baseline"/>
          <w:lang w:val="en-US"/>
        </w:rPr>
      </w:pPr>
      <w:r>
        <w:rPr>
          <w:rFonts w:ascii="Courier New" w:hAnsi="Courier New" w:eastAsia="Courier New"/>
          <w:color w:val="000000"/>
          <w:spacing w:val="-11"/>
          <w:w w:val="95"/>
          <w:sz w:val="26"/>
          <w:vertAlign w:val="baseline"/>
          <w:lang w:val="en-US"/>
        </w:rPr>
        <w:t xml:space="preserve">Conclusion.</w:t>
      </w:r>
    </w:p>
    <w:p>
      <w:pPr>
        <w:spacing w:before="219" w:after="0" w:line="288" w:lineRule="exact"/>
        <w:ind w:right="0" w:left="0" w:firstLine="0"/>
        <w:jc w:val="left"/>
        <w:textAlignment w:val="baseline"/>
        <w:rPr>
          <w:rFonts w:ascii="Courier New" w:hAnsi="Courier New" w:eastAsia="Courier New"/>
          <w:color w:val="000000"/>
          <w:spacing w:val="-17"/>
          <w:w w:val="95"/>
          <w:sz w:val="26"/>
          <w:u w:val="single"/>
          <w:vertAlign w:val="baseline"/>
          <w:lang w:val="en-US"/>
        </w:rPr>
      </w:pPr>
      <w:r>
        <w:rPr>
          <w:rFonts w:ascii="Courier New" w:hAnsi="Courier New" w:eastAsia="Courier New"/>
          <w:color w:val="000000"/>
          <w:spacing w:val="-17"/>
          <w:w w:val="95"/>
          <w:sz w:val="26"/>
          <w:u w:val="single"/>
          <w:vertAlign w:val="baseline"/>
          <w:lang w:val="en-US"/>
        </w:rPr>
        <w:t xml:space="preserve">ANALYSIS </w:t>
      </w:r>
    </w:p>
    <w:p>
      <w:pPr>
        <w:numPr>
          <w:ilvl w:val="0"/>
          <w:numId w:val="3"/>
        </w:numPr>
        <w:tabs>
          <w:tab w:val="clear" w:pos="720"/>
          <w:tab w:val="left" w:pos="792"/>
        </w:tabs>
        <w:spacing w:before="175" w:after="0" w:line="288" w:lineRule="exact"/>
        <w:ind w:right="0" w:left="792" w:hanging="720"/>
        <w:jc w:val="left"/>
        <w:textAlignment w:val="baseline"/>
        <w:rPr>
          <w:rFonts w:ascii="Courier New" w:hAnsi="Courier New" w:eastAsia="Courier New"/>
          <w:color w:val="000000"/>
          <w:spacing w:val="-10"/>
          <w:w w:val="100"/>
          <w:sz w:val="26"/>
          <w:u w:val="single"/>
          <w:vertAlign w:val="baseline"/>
          <w:lang w:val="en-US"/>
        </w:rPr>
      </w:pPr>
      <w:r>
        <w:rPr>
          <w:rFonts w:ascii="Courier New" w:hAnsi="Courier New" w:eastAsia="Courier New"/>
          <w:color w:val="000000"/>
          <w:spacing w:val="-10"/>
          <w:w w:val="100"/>
          <w:sz w:val="26"/>
          <w:u w:val="single"/>
          <w:vertAlign w:val="baseline"/>
          <w:lang w:val="en-US"/>
        </w:rPr>
        <w:t xml:space="preserve">Jurisdiction:</w:t>
      </w:r>
      <w:r>
        <w:rPr>
          <w:rFonts w:ascii="Courier New" w:hAnsi="Courier New" w:eastAsia="Courier New"/>
          <w:color w:val="000000"/>
          <w:spacing w:val="-10"/>
          <w:w w:val="100"/>
          <w:sz w:val="26"/>
          <w:vertAlign w:val="baseline"/>
          <w:lang w:val="en-US"/>
        </w:rPr>
        <w:t xml:space="preserve"> State of Minnesota.</w:t>
      </w:r>
    </w:p>
    <w:p>
      <w:pPr>
        <w:numPr>
          <w:ilvl w:val="0"/>
          <w:numId w:val="3"/>
        </w:numPr>
        <w:tabs>
          <w:tab w:val="clear" w:pos="720"/>
          <w:tab w:val="left" w:pos="792"/>
        </w:tabs>
        <w:spacing w:before="191" w:after="0" w:line="288" w:lineRule="exact"/>
        <w:ind w:right="0" w:left="792" w:hanging="720"/>
        <w:jc w:val="left"/>
        <w:textAlignment w:val="baseline"/>
        <w:rPr>
          <w:rFonts w:ascii="Courier New" w:hAnsi="Courier New" w:eastAsia="Courier New"/>
          <w:color w:val="000000"/>
          <w:spacing w:val="-11"/>
          <w:w w:val="95"/>
          <w:sz w:val="26"/>
          <w:u w:val="single"/>
          <w:vertAlign w:val="baseline"/>
          <w:lang w:val="en-US"/>
        </w:rPr>
      </w:pPr>
      <w:r>
        <w:rPr>
          <w:rFonts w:ascii="Courier New" w:hAnsi="Courier New" w:eastAsia="Courier New"/>
          <w:color w:val="000000"/>
          <w:spacing w:val="-11"/>
          <w:w w:val="95"/>
          <w:sz w:val="26"/>
          <w:u w:val="single"/>
          <w:vertAlign w:val="baseline"/>
          <w:lang w:val="en-US"/>
        </w:rPr>
        <w:t xml:space="preserve">Elements of Due Process </w:t>
      </w:r>
    </w:p>
    <w:p>
      <w:pPr>
        <w:spacing w:before="216" w:after="0" w:line="241" w:lineRule="exact"/>
        <w:ind w:right="0" w:left="0" w:firstLine="792"/>
        <w:jc w:val="left"/>
        <w:textAlignment w:val="baseline"/>
        <w:rPr>
          <w:rFonts w:ascii="Courier New" w:hAnsi="Courier New" w:eastAsia="Courier New"/>
          <w:color w:val="000000"/>
          <w:spacing w:val="0"/>
          <w:w w:val="95"/>
          <w:sz w:val="26"/>
          <w:vertAlign w:val="baseline"/>
          <w:lang w:val="en-US"/>
        </w:rPr>
      </w:pPr>
      <w:r>
        <w:pict>
          <v:shapetype id="_x0000_t7" coordsize="21600,21600" o:spt="202" path="m,l,21600r21600,l21600,xe">
            <v:stroke joinstyle="miter"/>
            <v:path gradientshapeok="t" o:connecttype="rect"/>
          </v:shapetype>
          <v:shape id="_x0000_s6" type="#_x0000_t7" filled="f" stroked="f" style="position:absolute;width:24.7pt;height:29.55pt;z-index:-1;margin-left:18.5pt;margin-top:393.1pt;mso-wrap-distance-left:0pt;mso-wrap-distance-right:0pt;mso-position-horizontal-relative:page;mso-position-vertical-relative:page">
            <w10:wrap type="square" side="both"/>
            <v:fill opacity="1" o:opacity2="1" recolor="f" rotate="f" type="solid"/>
            <v:textbox inset="0pt, 0pt, 0pt, 0pt">
              <w:txbxContent>
                <w:p>
                  <w:pPr>
                    <w:spacing w:before="0" w:after="0" w:line="240" w:lineRule="auto"/>
                    <w:ind w:right="0" w:left="0"/>
                    <w:jc w:val="left"/>
                    <w:textAlignment w:val="baseline"/>
                  </w:pPr>
                  <w:r>
                    <w:drawing>
                      <wp:inline>
                        <wp:extent cx="313690" cy="375285"/>
                        <wp:docPr name="Picture" id="2"/>
                        <a:graphic>
                          <a:graphicData uri="http://schemas.openxmlformats.org/drawingml/2006/picture">
                            <pic:pic>
                              <pic:nvPicPr>
                                <pic:cNvPr id="2" name="Picture"/>
                                <pic:cNvPicPr preferRelativeResize="false"/>
                              </pic:nvPicPr>
                              <pic:blipFill>
                                <a:blip r:embed="prId2"/>
                                <a:stretch>
                                  <a:fillRect/>
                                </a:stretch>
                              </pic:blipFill>
                              <pic:spPr>
                                <a:xfrm>
                                  <a:off x="0" y="0"/>
                                  <a:ext cx="313690" cy="375285"/>
                                </a:xfrm>
                                <a:prstGeom prst="rect"/>
                              </pic:spPr>
                            </pic:pic>
                          </a:graphicData>
                        </a:graphic>
                      </wp:inline>
                    </w:drawing>
                  </w:r>
                </w:p>
              </w:txbxContent>
            </v:textbox>
          </v:shape>
        </w:pict>
      </w:r>
      <w:r>
        <w:rPr>
          <w:rFonts w:ascii="Courier New" w:hAnsi="Courier New" w:eastAsia="Courier New"/>
          <w:color w:val="000000"/>
          <w:spacing w:val="0"/>
          <w:w w:val="95"/>
          <w:sz w:val="26"/>
          <w:vertAlign w:val="baseline"/>
          <w:lang w:val="en-US"/>
        </w:rPr>
        <w:t xml:space="preserve">Section 6(k) of the United States Housing Act of 1937 (42 U.S.C. 1437d(k), as amended by section 503(a) of the National Affordable Housing Act of 1990, Pub. L. 101-625, approved November 28, 1990), provides that:</w:t>
      </w:r>
    </w:p>
    <w:p>
      <w:pPr>
        <w:spacing w:before="235" w:after="0" w:line="239" w:lineRule="exact"/>
        <w:ind w:right="0" w:left="792" w:firstLine="0"/>
        <w:jc w:val="left"/>
        <w:textAlignment w:val="baseline"/>
        <w:rPr>
          <w:rFonts w:ascii="Courier New" w:hAnsi="Courier New" w:eastAsia="Courier New"/>
          <w:color w:val="000000"/>
          <w:spacing w:val="-9"/>
          <w:w w:val="95"/>
          <w:sz w:val="26"/>
          <w:vertAlign w:val="baseline"/>
          <w:lang w:val="en-US"/>
        </w:rPr>
      </w:pPr>
      <w:r>
        <w:rPr>
          <w:rFonts w:ascii="Courier New" w:hAnsi="Courier New" w:eastAsia="Courier New"/>
          <w:color w:val="000000"/>
          <w:spacing w:val="-9"/>
          <w:w w:val="95"/>
          <w:sz w:val="26"/>
          <w:vertAlign w:val="baseline"/>
          <w:lang w:val="en-US"/>
        </w:rPr>
        <w:t xml:space="preserve">For any grievance concerning an eviction or termination of tenancy that involves any criminal activity that threatens the health, safety, or right to peaceful enjoyment of the premises of other tenants or employees of the public housing agency or any drug-related criminal activity on or near such premises, the agency may . . . exclude from its grievance procedure any such grievance, in any jurisdiction which requires that prior to eviction, a tenant be given a hearing in court which the Secretary determines provides the basic elements of due process . . . .</w:t>
      </w:r>
    </w:p>
    <w:p>
      <w:pPr>
        <w:spacing w:before="255" w:after="0" w:line="235" w:lineRule="exact"/>
        <w:ind w:right="0" w:left="0" w:firstLine="792"/>
        <w:jc w:val="left"/>
        <w:textAlignment w:val="baseline"/>
        <w:rPr>
          <w:rFonts w:ascii="Courier New" w:hAnsi="Courier New" w:eastAsia="Courier New"/>
          <w:color w:val="000000"/>
          <w:spacing w:val="0"/>
          <w:w w:val="95"/>
          <w:sz w:val="26"/>
          <w:vertAlign w:val="baseline"/>
          <w:lang w:val="en-US"/>
        </w:rPr>
      </w:pPr>
      <w:r>
        <w:rPr>
          <w:rFonts w:ascii="Courier New" w:hAnsi="Courier New" w:eastAsia="Courier New"/>
          <w:color w:val="000000"/>
          <w:spacing w:val="0"/>
          <w:w w:val="95"/>
          <w:sz w:val="26"/>
          <w:vertAlign w:val="baseline"/>
          <w:lang w:val="en-US"/>
        </w:rPr>
        <w:t xml:space="preserve">The statutory phrase "elements of due process" is defined by HUD at 24 C.F.R. S 966.53(c) as:</w:t>
      </w:r>
    </w:p>
    <w:p>
      <w:pPr>
        <w:spacing w:before="248" w:after="0" w:line="239" w:lineRule="exact"/>
        <w:ind w:right="432" w:left="792" w:firstLine="0"/>
        <w:jc w:val="left"/>
        <w:textAlignment w:val="baseline"/>
        <w:rPr>
          <w:rFonts w:ascii="Courier New" w:hAnsi="Courier New" w:eastAsia="Courier New"/>
          <w:color w:val="000000"/>
          <w:spacing w:val="-7"/>
          <w:w w:val="95"/>
          <w:sz w:val="26"/>
          <w:vertAlign w:val="baseline"/>
          <w:lang w:val="en-US"/>
        </w:rPr>
      </w:pPr>
      <w:r>
        <w:rPr>
          <w:rFonts w:ascii="Courier New" w:hAnsi="Courier New" w:eastAsia="Courier New"/>
          <w:color w:val="000000"/>
          <w:spacing w:val="-7"/>
          <w:w w:val="95"/>
          <w:sz w:val="26"/>
          <w:vertAlign w:val="baseline"/>
          <w:lang w:val="en-US"/>
        </w:rPr>
        <w:t xml:space="preserve">. . . an eviction action or a termination of tenancy in a State or local court in which the following procedural safeguards are required:</w:t>
      </w:r>
    </w:p>
    <w:p>
      <w:pPr>
        <w:spacing w:before="258" w:after="0" w:line="243" w:lineRule="exact"/>
        <w:ind w:right="1008" w:left="1440" w:hanging="648"/>
        <w:jc w:val="left"/>
        <w:textAlignment w:val="baseline"/>
        <w:rPr>
          <w:rFonts w:ascii="Courier New" w:hAnsi="Courier New" w:eastAsia="Courier New"/>
          <w:color w:val="000000"/>
          <w:spacing w:val="0"/>
          <w:w w:val="95"/>
          <w:sz w:val="26"/>
          <w:vertAlign w:val="baseline"/>
          <w:lang w:val="en-US"/>
        </w:rPr>
      </w:pPr>
      <w:r>
        <w:rPr>
          <w:rFonts w:ascii="Courier New" w:hAnsi="Courier New" w:eastAsia="Courier New"/>
          <w:color w:val="000000"/>
          <w:spacing w:val="0"/>
          <w:w w:val="95"/>
          <w:sz w:val="26"/>
          <w:vertAlign w:val="baseline"/>
          <w:lang w:val="en-US"/>
        </w:rPr>
        <w:t xml:space="preserve">(1) Adequate notice to the tenant of the grounds for terminating the tenancy and for eviction;</w:t>
      </w:r>
    </w:p>
    <w:p>
      <w:pPr>
        <w:sectPr>
          <w:type w:val="nextPage"/>
          <w:pgSz w:w="12240" w:h="15840" w:orient="portrait"/>
          <w:pgMar w:bottom="1824" w:top="1500" w:right="1533" w:left="1347" w:header="720" w:footer="720"/>
          <w:titlePg w:val="false"/>
          <w:textDirection w:val="lrTb"/>
        </w:sectPr>
      </w:pPr>
    </w:p>
    <w:p>
      <w:pPr>
        <w:spacing w:before="32" w:after="0" w:line="244" w:lineRule="exact"/>
        <w:ind w:right="0" w:left="72" w:firstLine="0"/>
        <w:jc w:val="right"/>
        <w:textAlignment w:val="baseline"/>
        <w:rPr>
          <w:rFonts w:ascii="Courier New" w:hAnsi="Courier New" w:eastAsia="Courier New"/>
          <w:color w:val="000000"/>
          <w:spacing w:val="-13"/>
          <w:w w:val="100"/>
          <w:sz w:val="26"/>
          <w:vertAlign w:val="baseline"/>
          <w:lang w:val="en-US"/>
        </w:rPr>
      </w:pPr>
      <w:r>
        <w:rPr>
          <w:rFonts w:ascii="Courier New" w:hAnsi="Courier New" w:eastAsia="Courier New"/>
          <w:color w:val="000000"/>
          <w:spacing w:val="-13"/>
          <w:w w:val="100"/>
          <w:sz w:val="26"/>
          <w:vertAlign w:val="baseline"/>
          <w:lang w:val="en-US"/>
        </w:rPr>
        <w:t xml:space="preserve">MINNESOTA: DUE PROCESS DETERMINATION</w:t>
      </w:r>
    </w:p>
    <w:p>
      <w:pPr>
        <w:numPr>
          <w:ilvl w:val="0"/>
          <w:numId w:val="4"/>
        </w:numPr>
        <w:tabs>
          <w:tab w:val="clear" w:pos="648"/>
          <w:tab w:val="left" w:pos="1512"/>
        </w:tabs>
        <w:spacing w:before="991" w:after="0" w:line="244" w:lineRule="exact"/>
        <w:ind w:right="0" w:left="1512" w:hanging="648"/>
        <w:jc w:val="left"/>
        <w:textAlignment w:val="baseline"/>
        <w:rPr>
          <w:rFonts w:ascii="Courier New" w:hAnsi="Courier New" w:eastAsia="Courier New"/>
          <w:color w:val="000000"/>
          <w:spacing w:val="-13"/>
          <w:w w:val="100"/>
          <w:sz w:val="26"/>
          <w:vertAlign w:val="baseline"/>
          <w:lang w:val="en-US"/>
        </w:rPr>
      </w:pPr>
      <w:r>
        <w:rPr>
          <w:rFonts w:ascii="Courier New" w:hAnsi="Courier New" w:eastAsia="Courier New"/>
          <w:color w:val="000000"/>
          <w:spacing w:val="-13"/>
          <w:w w:val="100"/>
          <w:sz w:val="26"/>
          <w:vertAlign w:val="baseline"/>
          <w:lang w:val="en-US"/>
        </w:rPr>
        <w:t xml:space="preserve">Right of the tenant to be represented by counsel;</w:t>
      </w:r>
    </w:p>
    <w:p>
      <w:pPr>
        <w:numPr>
          <w:ilvl w:val="0"/>
          <w:numId w:val="4"/>
        </w:numPr>
        <w:tabs>
          <w:tab w:val="clear" w:pos="648"/>
          <w:tab w:val="left" w:pos="1512"/>
        </w:tabs>
        <w:spacing w:before="235" w:after="0" w:line="244" w:lineRule="exact"/>
        <w:ind w:right="0" w:left="1512" w:hanging="648"/>
        <w:jc w:val="left"/>
        <w:textAlignment w:val="baseline"/>
        <w:rPr>
          <w:rFonts w:ascii="Courier New" w:hAnsi="Courier New" w:eastAsia="Courier New"/>
          <w:color w:val="000000"/>
          <w:spacing w:val="0"/>
          <w:w w:val="95"/>
          <w:sz w:val="26"/>
          <w:vertAlign w:val="baseline"/>
          <w:lang w:val="en-US"/>
        </w:rPr>
      </w:pPr>
      <w:r>
        <w:rPr>
          <w:rFonts w:ascii="Courier New" w:hAnsi="Courier New" w:eastAsia="Courier New"/>
          <w:color w:val="000000"/>
          <w:spacing w:val="0"/>
          <w:w w:val="95"/>
          <w:sz w:val="26"/>
          <w:vertAlign w:val="baseline"/>
          <w:lang w:val="en-US"/>
        </w:rPr>
        <w:t xml:space="preserve">Opportunity for the tenant to refute the evidence presented by the PHA including the right to confront and cross-examine witnesses and to present any affirmative legal or equitable defense which the tenant may have; and</w:t>
      </w:r>
    </w:p>
    <w:p>
      <w:pPr>
        <w:numPr>
          <w:ilvl w:val="0"/>
          <w:numId w:val="4"/>
        </w:numPr>
        <w:tabs>
          <w:tab w:val="clear" w:pos="648"/>
          <w:tab w:val="left" w:pos="1512"/>
        </w:tabs>
        <w:spacing w:before="245" w:after="0" w:line="244" w:lineRule="exact"/>
        <w:ind w:right="0" w:left="1512" w:hanging="648"/>
        <w:jc w:val="left"/>
        <w:textAlignment w:val="baseline"/>
        <w:rPr>
          <w:rFonts w:ascii="Courier New" w:hAnsi="Courier New" w:eastAsia="Courier New"/>
          <w:color w:val="000000"/>
          <w:spacing w:val="-7"/>
          <w:w w:val="95"/>
          <w:sz w:val="26"/>
          <w:vertAlign w:val="baseline"/>
          <w:lang w:val="en-US"/>
        </w:rPr>
      </w:pPr>
      <w:r>
        <w:rPr>
          <w:rFonts w:ascii="Courier New" w:hAnsi="Courier New" w:eastAsia="Courier New"/>
          <w:color w:val="000000"/>
          <w:spacing w:val="-7"/>
          <w:w w:val="95"/>
          <w:sz w:val="26"/>
          <w:vertAlign w:val="baseline"/>
          <w:lang w:val="en-US"/>
        </w:rPr>
        <w:t xml:space="preserve">A decision on the merits.</w:t>
      </w:r>
    </w:p>
    <w:p>
      <w:pPr>
        <w:spacing w:before="223" w:after="0" w:line="244" w:lineRule="exact"/>
        <w:ind w:right="864" w:left="72" w:firstLine="720"/>
        <w:jc w:val="left"/>
        <w:textAlignment w:val="baseline"/>
        <w:rPr>
          <w:rFonts w:ascii="Courier New" w:hAnsi="Courier New" w:eastAsia="Courier New"/>
          <w:color w:val="000000"/>
          <w:spacing w:val="-8"/>
          <w:w w:val="95"/>
          <w:sz w:val="26"/>
          <w:vertAlign w:val="baseline"/>
          <w:lang w:val="en-US"/>
        </w:rPr>
      </w:pPr>
      <w:r>
        <w:rPr>
          <w:rFonts w:ascii="Courier New" w:hAnsi="Courier New" w:eastAsia="Courier New"/>
          <w:color w:val="000000"/>
          <w:spacing w:val="-8"/>
          <w:w w:val="95"/>
          <w:sz w:val="26"/>
          <w:vertAlign w:val="baseline"/>
          <w:lang w:val="en-US"/>
        </w:rPr>
        <w:t xml:space="preserve">HUD's determination that a State's eviction procedures satisfy this regulatory definition is called a "due process determination."</w:t>
      </w:r>
    </w:p>
    <w:p>
      <w:pPr>
        <w:spacing w:before="235" w:after="0" w:line="244" w:lineRule="exact"/>
        <w:ind w:right="0" w:left="72" w:firstLine="720"/>
        <w:jc w:val="left"/>
        <w:textAlignment w:val="baseline"/>
        <w:rPr>
          <w:rFonts w:ascii="Courier New" w:hAnsi="Courier New" w:eastAsia="Courier New"/>
          <w:color w:val="000000"/>
          <w:spacing w:val="-12"/>
          <w:w w:val="100"/>
          <w:sz w:val="26"/>
          <w:vertAlign w:val="baseline"/>
          <w:lang w:val="en-US"/>
        </w:rPr>
      </w:pPr>
      <w:r>
        <w:rPr>
          <w:rFonts w:ascii="Courier New" w:hAnsi="Courier New" w:eastAsia="Courier New"/>
          <w:color w:val="000000"/>
          <w:spacing w:val="-12"/>
          <w:w w:val="100"/>
          <w:sz w:val="26"/>
          <w:vertAlign w:val="baseline"/>
          <w:lang w:val="en-US"/>
        </w:rPr>
        <w:t xml:space="preserve">The present due process determination is based on HUD's analysis of the laws of the State of Minnesota to determine if an action for forcible entry and unlawful detainer (FED Action) under those laws require a hearing with all of the regulatory "elements of due process," as defined in S 966</w:t>
      </w:r>
      <w:r>
        <w:rPr>
          <w:rFonts w:ascii="Lucida Console" w:hAnsi="Lucida Console" w:eastAsia="Lucida Console"/>
          <w:color w:val="000000"/>
          <w:spacing w:val="-12"/>
          <w:w w:val="100"/>
          <w:sz w:val="30"/>
          <w:vertAlign w:val="baseline"/>
          <w:lang w:val="en-US"/>
        </w:rPr>
        <w:t xml:space="preserve">.</w:t>
      </w:r>
      <w:r>
        <w:rPr>
          <w:rFonts w:ascii="Courier New" w:hAnsi="Courier New" w:eastAsia="Courier New"/>
          <w:color w:val="000000"/>
          <w:spacing w:val="-12"/>
          <w:w w:val="100"/>
          <w:sz w:val="26"/>
          <w:vertAlign w:val="baseline"/>
          <w:lang w:val="en-US"/>
        </w:rPr>
        <w:t xml:space="preserve">53(c).</w:t>
      </w:r>
    </w:p>
    <w:p>
      <w:pPr>
        <w:spacing w:before="199" w:after="0" w:line="244" w:lineRule="exact"/>
        <w:ind w:right="0" w:left="72" w:firstLine="720"/>
        <w:jc w:val="left"/>
        <w:textAlignment w:val="baseline"/>
        <w:rPr>
          <w:rFonts w:ascii="Courier New" w:hAnsi="Courier New" w:eastAsia="Courier New"/>
          <w:color w:val="000000"/>
          <w:spacing w:val="-7"/>
          <w:w w:val="95"/>
          <w:sz w:val="26"/>
          <w:vertAlign w:val="baseline"/>
          <w:lang w:val="en-US"/>
        </w:rPr>
      </w:pPr>
      <w:r>
        <w:rPr>
          <w:rFonts w:ascii="Courier New" w:hAnsi="Courier New" w:eastAsia="Courier New"/>
          <w:color w:val="000000"/>
          <w:spacing w:val="-7"/>
          <w:w w:val="95"/>
          <w:sz w:val="26"/>
          <w:vertAlign w:val="baseline"/>
          <w:lang w:val="en-US"/>
        </w:rPr>
        <w:t xml:space="preserve">HUD finds that the requirements of Minnesota law governing a FED Action in the Minnesota District Courts (or in the Housing Courts of Hennepin and Ramsey Counties)</w:t>
      </w:r>
      <w:r>
        <w:rPr>
          <w:rFonts w:ascii="Courier New" w:hAnsi="Courier New" w:eastAsia="Courier New"/>
          <w:color w:val="000000"/>
          <w:spacing w:val="-7"/>
          <w:w w:val="95"/>
          <w:sz w:val="26"/>
          <w:vertAlign w:val="superscript"/>
          <w:lang w:val="en-US"/>
        </w:rPr>
        <w:t xml:space="preserve">2</w:t>
      </w:r>
      <w:r>
        <w:rPr>
          <w:rFonts w:ascii="Courier New" w:hAnsi="Courier New" w:eastAsia="Courier New"/>
          <w:color w:val="000000"/>
          <w:spacing w:val="-7"/>
          <w:w w:val="95"/>
          <w:sz w:val="26"/>
          <w:vertAlign w:val="baseline"/>
          <w:lang w:val="en-US"/>
        </w:rPr>
        <w:t xml:space="preserve"> under Sections</w:t>
      </w:r>
    </w:p>
    <w:p>
      <w:pPr>
        <w:spacing w:before="0" w:after="0" w:line="238" w:lineRule="exact"/>
        <w:ind w:right="0" w:left="72" w:firstLine="0"/>
        <w:jc w:val="left"/>
        <w:textAlignment w:val="baseline"/>
        <w:rPr>
          <w:rFonts w:ascii="Courier New" w:hAnsi="Courier New" w:eastAsia="Courier New"/>
          <w:color w:val="000000"/>
          <w:spacing w:val="-8"/>
          <w:w w:val="95"/>
          <w:sz w:val="26"/>
          <w:vertAlign w:val="baseline"/>
          <w:lang w:val="en-US"/>
        </w:rPr>
      </w:pPr>
      <w:r>
        <w:rPr>
          <w:rFonts w:ascii="Courier New" w:hAnsi="Courier New" w:eastAsia="Courier New"/>
          <w:color w:val="000000"/>
          <w:spacing w:val="-8"/>
          <w:w w:val="95"/>
          <w:sz w:val="26"/>
          <w:vertAlign w:val="baseline"/>
          <w:lang w:val="en-US"/>
        </w:rPr>
        <w:t xml:space="preserve">566.01-.33 of the Minnesota Statutes (FED Statute) include all of the elements of basic due process, as defined in 24 C.F.R.</w:t>
      </w:r>
    </w:p>
    <w:p>
      <w:pPr>
        <w:spacing w:before="2" w:after="1520" w:line="244" w:lineRule="exact"/>
        <w:ind w:right="0" w:left="72" w:firstLine="0"/>
        <w:jc w:val="left"/>
        <w:textAlignment w:val="baseline"/>
        <w:rPr>
          <w:rFonts w:ascii="Courier New" w:hAnsi="Courier New" w:eastAsia="Courier New"/>
          <w:color w:val="000000"/>
          <w:spacing w:val="0"/>
          <w:w w:val="100"/>
          <w:sz w:val="26"/>
          <w:vertAlign w:val="baseline"/>
          <w:lang w:val="en-US"/>
        </w:rPr>
      </w:pPr>
      <w:r>
        <w:rPr>
          <w:rFonts w:ascii="Courier New" w:hAnsi="Courier New" w:eastAsia="Courier New"/>
          <w:color w:val="000000"/>
          <w:spacing w:val="0"/>
          <w:w w:val="100"/>
          <w:sz w:val="26"/>
          <w:vertAlign w:val="baseline"/>
          <w:lang w:val="en-US"/>
        </w:rPr>
        <w:t xml:space="preserve">§ 966.53(c). This conclusion is based upon requirements contained in the State Constitution, Minnesota Statutes, case law and Minnesota Rules of Court.</w:t>
      </w:r>
    </w:p>
    <w:p>
      <w:pPr>
        <w:spacing w:before="156" w:after="0" w:line="244" w:lineRule="exact"/>
        <w:ind w:right="216" w:left="72" w:firstLine="648"/>
        <w:jc w:val="left"/>
        <w:textAlignment w:val="baseline"/>
        <w:rPr>
          <w:rFonts w:ascii="Courier New" w:hAnsi="Courier New" w:eastAsia="Courier New"/>
          <w:color w:val="000000"/>
          <w:spacing w:val="0"/>
          <w:w w:val="95"/>
          <w:sz w:val="16"/>
          <w:vertAlign w:val="superscript"/>
          <w:lang w:val="en-US"/>
        </w:rPr>
      </w:pPr>
      <w:r>
        <w:pict>
          <v:line strokeweight="0.95pt" strokecolor="#000000" from="64.1pt,550.3pt" to="209.55pt,550.3pt" style="position:absolute;mso-position-horizontal-relative:page;mso-position-vertical-relative:page;">
            <v:stroke dashstyle="solid"/>
          </v:line>
        </w:pict>
      </w:r>
      <w:r>
        <w:rPr>
          <w:rFonts w:ascii="Courier New" w:hAnsi="Courier New" w:eastAsia="Courier New"/>
          <w:color w:val="000000"/>
          <w:spacing w:val="0"/>
          <w:w w:val="95"/>
          <w:sz w:val="16"/>
          <w:vertAlign w:val="superscript"/>
          <w:lang w:val="en-US"/>
        </w:rPr>
        <w:t xml:space="preserve">1</w:t>
      </w:r>
      <w:r>
        <w:rPr>
          <w:rFonts w:ascii="Courier New" w:hAnsi="Courier New" w:eastAsia="Courier New"/>
          <w:color w:val="000000"/>
          <w:spacing w:val="0"/>
          <w:w w:val="95"/>
          <w:sz w:val="26"/>
          <w:vertAlign w:val="baseline"/>
          <w:lang w:val="en-US"/>
        </w:rPr>
        <w:t xml:space="preserve"> Under certain circumstances, when contraband or a controlled substance has been seized on residential rental property, incident to a lawful search or arrest, involving the same tenant in more than one occurrence, the property is subject to forfeiture in an action brought by the county attorney. M.S.A. S 609.5317. Such forfeiture actions are not covered by this due process determination.</w:t>
      </w:r>
    </w:p>
    <w:p>
      <w:pPr>
        <w:spacing w:before="234" w:after="0" w:line="244" w:lineRule="exact"/>
        <w:ind w:right="72" w:left="72" w:firstLine="648"/>
        <w:jc w:val="both"/>
        <w:textAlignment w:val="baseline"/>
        <w:rPr>
          <w:rFonts w:ascii="Arial" w:hAnsi="Arial" w:eastAsia="Arial"/>
          <w:b w:val="true"/>
          <w:color w:val="000000"/>
          <w:spacing w:val="-9"/>
          <w:w w:val="95"/>
          <w:sz w:val="13"/>
          <w:vertAlign w:val="superscript"/>
          <w:lang w:val="en-US"/>
        </w:rPr>
      </w:pPr>
      <w:r>
        <w:rPr>
          <w:rFonts w:ascii="Arial" w:hAnsi="Arial" w:eastAsia="Arial"/>
          <w:b w:val="true"/>
          <w:color w:val="000000"/>
          <w:spacing w:val="-9"/>
          <w:w w:val="95"/>
          <w:sz w:val="13"/>
          <w:vertAlign w:val="superscript"/>
          <w:lang w:val="en-US"/>
        </w:rPr>
        <w:t xml:space="preserve">2</w:t>
      </w:r>
      <w:r>
        <w:rPr>
          <w:rFonts w:ascii="Courier New" w:hAnsi="Courier New" w:eastAsia="Courier New"/>
          <w:color w:val="000000"/>
          <w:spacing w:val="-9"/>
          <w:w w:val="95"/>
          <w:sz w:val="26"/>
          <w:vertAlign w:val="baseline"/>
          <w:lang w:val="en-US"/>
        </w:rPr>
        <w:t xml:space="preserve"> In Hennepin and Ramsey Counties, a FED Action also may be commenced in Housing Court, where a referee presides. Rules 601</w:t>
        <w:softHyphen/>
      </w:r>
      <w:r>
        <w:rPr>
          <w:rFonts w:ascii="Courier New" w:hAnsi="Courier New" w:eastAsia="Courier New"/>
          <w:color w:val="000000"/>
          <w:spacing w:val="-9"/>
          <w:w w:val="95"/>
          <w:sz w:val="26"/>
          <w:vertAlign w:val="baseline"/>
          <w:lang w:val="en-US"/>
        </w:rPr>
        <w:t xml:space="preserve">612 of the General Rules of Practice for District Courts apply to all proceedings in Housing Court.</w:t>
      </w:r>
    </w:p>
    <w:p>
      <w:pPr>
        <w:spacing w:before="243" w:after="0" w:line="217" w:lineRule="exact"/>
        <w:ind w:right="0" w:left="72" w:firstLine="0"/>
        <w:jc w:val="center"/>
        <w:textAlignment w:val="baseline"/>
        <w:rPr>
          <w:rFonts w:ascii="Times New Roman" w:hAnsi="Times New Roman" w:eastAsia="Times New Roman"/>
          <w:color w:val="000000"/>
          <w:spacing w:val="0"/>
          <w:w w:val="100"/>
          <w:sz w:val="20"/>
          <w:vertAlign w:val="baseline"/>
          <w:lang w:val="en-US"/>
        </w:rPr>
      </w:pPr>
      <w:r>
        <w:rPr>
          <w:rFonts w:ascii="Times New Roman" w:hAnsi="Times New Roman" w:eastAsia="Times New Roman"/>
          <w:color w:val="000000"/>
          <w:spacing w:val="0"/>
          <w:w w:val="100"/>
          <w:sz w:val="20"/>
          <w:vertAlign w:val="baseline"/>
          <w:lang w:val="en-US"/>
        </w:rPr>
        <w:t xml:space="preserve">2</w:t>
      </w:r>
    </w:p>
    <w:p>
      <w:pPr>
        <w:sectPr>
          <w:type w:val="nextPage"/>
          <w:pgSz w:w="12240" w:h="15840" w:orient="portrait"/>
          <w:pgMar w:bottom="904" w:top="1460" w:right="1558" w:left="1282" w:header="720" w:footer="720"/>
          <w:titlePg w:val="false"/>
          <w:textDirection w:val="lrTb"/>
        </w:sectPr>
      </w:pPr>
    </w:p>
    <w:p>
      <w:pPr>
        <w:spacing w:before="24" w:after="0" w:line="240" w:lineRule="exact"/>
        <w:ind w:right="72" w:left="0" w:firstLine="0"/>
        <w:jc w:val="right"/>
        <w:textAlignment w:val="baseline"/>
        <w:rPr>
          <w:rFonts w:ascii="Courier New" w:hAnsi="Courier New" w:eastAsia="Courier New"/>
          <w:color w:val="000000"/>
          <w:spacing w:val="-6"/>
          <w:w w:val="95"/>
          <w:sz w:val="26"/>
          <w:vertAlign w:val="baseline"/>
          <w:lang w:val="en-US"/>
        </w:rPr>
      </w:pPr>
      <w:r>
        <w:rPr>
          <w:rFonts w:ascii="Courier New" w:hAnsi="Courier New" w:eastAsia="Courier New"/>
          <w:color w:val="000000"/>
          <w:spacing w:val="-6"/>
          <w:w w:val="95"/>
          <w:sz w:val="26"/>
          <w:vertAlign w:val="baseline"/>
          <w:lang w:val="en-US"/>
        </w:rPr>
        <w:t xml:space="preserve">MINNESOTA: DUE PROCESS DETERMINATION</w:t>
      </w:r>
    </w:p>
    <w:p>
      <w:pPr>
        <w:spacing w:before="724" w:after="0" w:line="240" w:lineRule="exact"/>
        <w:ind w:right="72" w:left="0" w:firstLine="0"/>
        <w:jc w:val="left"/>
        <w:textAlignment w:val="baseline"/>
        <w:rPr>
          <w:rFonts w:ascii="Courier New" w:hAnsi="Courier New" w:eastAsia="Courier New"/>
          <w:color w:val="000000"/>
          <w:spacing w:val="-8"/>
          <w:w w:val="95"/>
          <w:sz w:val="26"/>
          <w:vertAlign w:val="baseline"/>
          <w:lang w:val="en-US"/>
        </w:rPr>
      </w:pPr>
      <w:r>
        <w:rPr>
          <w:rFonts w:ascii="Courier New" w:hAnsi="Courier New" w:eastAsia="Courier New"/>
          <w:color w:val="000000"/>
          <w:spacing w:val="-8"/>
          <w:w w:val="95"/>
          <w:sz w:val="26"/>
          <w:vertAlign w:val="baseline"/>
          <w:lang w:val="en-US"/>
        </w:rPr>
        <w:t xml:space="preserve">III. </w:t>
      </w:r>
      <w:r>
        <w:rPr>
          <w:rFonts w:ascii="Courier New" w:hAnsi="Courier New" w:eastAsia="Courier New"/>
          <w:color w:val="000000"/>
          <w:spacing w:val="-8"/>
          <w:w w:val="95"/>
          <w:sz w:val="26"/>
          <w:u w:val="single"/>
          <w:vertAlign w:val="baseline"/>
          <w:lang w:val="en-US"/>
        </w:rPr>
        <w:t xml:space="preserve">Overview of Minnesota Eviction Procedures </w:t>
      </w:r>
    </w:p>
    <w:p>
      <w:pPr>
        <w:spacing w:before="247" w:after="0" w:line="240" w:lineRule="exact"/>
        <w:ind w:right="72" w:left="0" w:firstLine="792"/>
        <w:jc w:val="left"/>
        <w:textAlignment w:val="baseline"/>
        <w:rPr>
          <w:rFonts w:ascii="Courier New" w:hAnsi="Courier New" w:eastAsia="Courier New"/>
          <w:color w:val="000000"/>
          <w:spacing w:val="0"/>
          <w:w w:val="95"/>
          <w:sz w:val="26"/>
          <w:vertAlign w:val="baseline"/>
          <w:lang w:val="en-US"/>
        </w:rPr>
      </w:pPr>
      <w:r>
        <w:rPr>
          <w:rFonts w:ascii="Courier New" w:hAnsi="Courier New" w:eastAsia="Courier New"/>
          <w:color w:val="000000"/>
          <w:spacing w:val="0"/>
          <w:w w:val="95"/>
          <w:sz w:val="26"/>
          <w:vertAlign w:val="baseline"/>
          <w:lang w:val="en-US"/>
        </w:rPr>
        <w:t xml:space="preserve">A FED Action is a civil action which may be commenced in the District Court (or the Housing Court for Hennepin or Ramsey Counties), in the district in which the premises are located. MSA S 484.01. The substantive requirements for a FED Action are governed by the FED Statute.</w:t>
      </w:r>
    </w:p>
    <w:p>
      <w:pPr>
        <w:spacing w:before="256" w:after="0" w:line="240" w:lineRule="exact"/>
        <w:ind w:right="72" w:left="0" w:firstLine="792"/>
        <w:jc w:val="left"/>
        <w:textAlignment w:val="baseline"/>
        <w:rPr>
          <w:rFonts w:ascii="Courier New" w:hAnsi="Courier New" w:eastAsia="Courier New"/>
          <w:color w:val="000000"/>
          <w:spacing w:val="-12"/>
          <w:w w:val="100"/>
          <w:sz w:val="26"/>
          <w:vertAlign w:val="baseline"/>
          <w:lang w:val="en-US"/>
        </w:rPr>
      </w:pPr>
      <w:r>
        <w:rPr>
          <w:rFonts w:ascii="Courier New" w:hAnsi="Courier New" w:eastAsia="Courier New"/>
          <w:color w:val="000000"/>
          <w:spacing w:val="-12"/>
          <w:w w:val="100"/>
          <w:sz w:val="26"/>
          <w:vertAlign w:val="baseline"/>
          <w:lang w:val="en-US"/>
        </w:rPr>
        <w:t xml:space="preserve">Procedural and practice requirements in FED Actions are governed by the Minnesota Rules of Civil Procedure (RCP) and the General Rules </w:t>
      </w:r>
      <w:r>
        <w:rPr>
          <w:rFonts w:ascii="Courier New" w:hAnsi="Courier New" w:eastAsia="Courier New"/>
          <w:color w:val="000000"/>
          <w:spacing w:val="-12"/>
          <w:w w:val="100"/>
          <w:sz w:val="26"/>
          <w:vertAlign w:val="baseline"/>
          <w:lang w:val="en-US"/>
        </w:rPr>
        <w:t xml:space="preserve">of </w:t>
      </w:r>
      <w:r>
        <w:rPr>
          <w:rFonts w:ascii="Courier New" w:hAnsi="Courier New" w:eastAsia="Courier New"/>
          <w:color w:val="000000"/>
          <w:spacing w:val="-12"/>
          <w:w w:val="100"/>
          <w:sz w:val="26"/>
          <w:vertAlign w:val="baseline"/>
          <w:lang w:val="en-US"/>
        </w:rPr>
        <w:t xml:space="preserve">Practice for the District Courts (Minn.Gen.R.Prac.), except as otherwise specifically provided in the FED Statute. MSA S 566.07; RCP Rule 1; Minn.Gen.R.Prac. Rule 1.01. The Minnesota Rules of Evidence (MRE) also apply to a FED Action. MRE Rule 101.</w:t>
      </w:r>
    </w:p>
    <w:p>
      <w:pPr>
        <w:spacing w:before="243" w:after="0" w:line="240" w:lineRule="exact"/>
        <w:ind w:right="72" w:left="0" w:firstLine="792"/>
        <w:jc w:val="left"/>
        <w:textAlignment w:val="baseline"/>
        <w:rPr>
          <w:rFonts w:ascii="Courier New" w:hAnsi="Courier New" w:eastAsia="Courier New"/>
          <w:color w:val="000000"/>
          <w:spacing w:val="-8"/>
          <w:w w:val="95"/>
          <w:sz w:val="26"/>
          <w:vertAlign w:val="baseline"/>
          <w:lang w:val="en-US"/>
        </w:rPr>
      </w:pPr>
      <w:r>
        <w:rPr>
          <w:rFonts w:ascii="Courier New" w:hAnsi="Courier New" w:eastAsia="Courier New"/>
          <w:color w:val="000000"/>
          <w:spacing w:val="-8"/>
          <w:w w:val="95"/>
          <w:sz w:val="26"/>
          <w:vertAlign w:val="baseline"/>
          <w:lang w:val="en-US"/>
        </w:rPr>
        <w:t xml:space="preserve">A FED Action may be maintained, among other instances, "when any person holds over lands or tenements after termination of the time for which they are demised or let to that person . . . or contrary to the conditions or covenants of the lease or agreement under which that person holds . . . or when any tenant at will holds over after the determination of any such estate by notice to quit." MSA S 566.03.</w:t>
      </w:r>
    </w:p>
    <w:p>
      <w:pPr>
        <w:spacing w:before="221" w:after="0" w:line="240" w:lineRule="exact"/>
        <w:ind w:right="72" w:left="0" w:firstLine="792"/>
        <w:jc w:val="left"/>
        <w:textAlignment w:val="baseline"/>
        <w:rPr>
          <w:rFonts w:ascii="Courier New" w:hAnsi="Courier New" w:eastAsia="Courier New"/>
          <w:color w:val="000000"/>
          <w:spacing w:val="-13"/>
          <w:w w:val="100"/>
          <w:sz w:val="26"/>
          <w:vertAlign w:val="baseline"/>
          <w:lang w:val="en-US"/>
        </w:rPr>
      </w:pPr>
      <w:r>
        <w:rPr>
          <w:rFonts w:ascii="Courier New" w:hAnsi="Courier New" w:eastAsia="Courier New"/>
          <w:color w:val="000000"/>
          <w:spacing w:val="-13"/>
          <w:w w:val="100"/>
          <w:sz w:val="26"/>
          <w:vertAlign w:val="baseline"/>
          <w:lang w:val="en-US"/>
        </w:rPr>
        <w:t xml:space="preserve">To commence a FED Action, the person seeking possession must file a complaint for recovery with the court. The complaint must describe the premises, state the facts which authorize the recovery, and pray for restitution of the premises. The court thereupon will issue a summons, commanding the defendant to</w:t>
      </w:r>
    </w:p>
    <w:p>
      <w:pPr>
        <w:spacing w:before="16" w:after="0" w:line="223" w:lineRule="exact"/>
        <w:ind w:right="72" w:left="0" w:firstLine="0"/>
        <w:jc w:val="left"/>
        <w:textAlignment w:val="baseline"/>
        <w:rPr>
          <w:rFonts w:ascii="Courier New" w:hAnsi="Courier New" w:eastAsia="Courier New"/>
          <w:color w:val="000000"/>
          <w:spacing w:val="-6"/>
          <w:w w:val="95"/>
          <w:sz w:val="26"/>
          <w:vertAlign w:val="baseline"/>
          <w:lang w:val="en-US"/>
        </w:rPr>
      </w:pPr>
      <w:r>
        <w:rPr>
          <w:rFonts w:ascii="Courier New" w:hAnsi="Courier New" w:eastAsia="Courier New"/>
          <w:color w:val="000000"/>
          <w:spacing w:val="-6"/>
          <w:w w:val="95"/>
          <w:sz w:val="26"/>
          <w:vertAlign w:val="baseline"/>
          <w:lang w:val="en-US"/>
        </w:rPr>
        <w:t xml:space="preserve">appear not less than seven nor more than 14 days from the date of issuance of the summons. A copy of the complaint must be</w:t>
      </w:r>
    </w:p>
    <w:p>
      <w:pPr>
        <w:spacing w:before="0" w:after="0" w:line="239" w:lineRule="exact"/>
        <w:ind w:right="72" w:left="0" w:firstLine="0"/>
        <w:jc w:val="left"/>
        <w:textAlignment w:val="baseline"/>
        <w:rPr>
          <w:rFonts w:ascii="Courier New" w:hAnsi="Courier New" w:eastAsia="Courier New"/>
          <w:color w:val="000000"/>
          <w:spacing w:val="-10"/>
          <w:w w:val="100"/>
          <w:sz w:val="26"/>
          <w:vertAlign w:val="baseline"/>
          <w:lang w:val="en-US"/>
        </w:rPr>
      </w:pPr>
      <w:r>
        <w:rPr>
          <w:rFonts w:ascii="Courier New" w:hAnsi="Courier New" w:eastAsia="Courier New"/>
          <w:color w:val="000000"/>
          <w:spacing w:val="-10"/>
          <w:w w:val="100"/>
          <w:sz w:val="26"/>
          <w:vertAlign w:val="baseline"/>
          <w:lang w:val="en-US"/>
        </w:rPr>
        <w:t xml:space="preserve">attached to the summons. MSA S 566.05.</w:t>
      </w:r>
    </w:p>
    <w:p>
      <w:pPr>
        <w:spacing w:before="254" w:after="1738" w:line="240" w:lineRule="exact"/>
        <w:ind w:right="72" w:left="0" w:firstLine="792"/>
        <w:jc w:val="left"/>
        <w:textAlignment w:val="baseline"/>
        <w:rPr>
          <w:rFonts w:ascii="Courier New" w:hAnsi="Courier New" w:eastAsia="Courier New"/>
          <w:color w:val="000000"/>
          <w:spacing w:val="-7"/>
          <w:w w:val="95"/>
          <w:sz w:val="26"/>
          <w:vertAlign w:val="baseline"/>
          <w:lang w:val="en-US"/>
        </w:rPr>
      </w:pPr>
      <w:r>
        <w:rPr>
          <w:rFonts w:ascii="Courier New" w:hAnsi="Courier New" w:eastAsia="Courier New"/>
          <w:color w:val="000000"/>
          <w:spacing w:val="-7"/>
          <w:w w:val="95"/>
          <w:sz w:val="26"/>
          <w:vertAlign w:val="baseline"/>
          <w:lang w:val="en-US"/>
        </w:rPr>
        <w:t xml:space="preserve">Any action or proceeding under the FED Statute must comply with Article I, Section 7 of the Minnesota State Constitution. Article I, Section 7 in part states that no person may "be deprived of life, liberty or property without due process of law." The Minnesota Supreme Court has construed this due process clause as providing no less protection than the due process clause of the Fourteenth Amendment of the United States Constitution. </w:t>
      </w:r>
      <w:r>
        <w:rPr>
          <w:rFonts w:ascii="Courier New" w:hAnsi="Courier New" w:eastAsia="Courier New"/>
          <w:color w:val="000000"/>
          <w:spacing w:val="-7"/>
          <w:w w:val="95"/>
          <w:sz w:val="26"/>
          <w:u w:val="single"/>
          <w:vertAlign w:val="baseline"/>
          <w:lang w:val="en-US"/>
        </w:rPr>
        <w:t xml:space="preserve">Anderson v. City of Saint Paul,</w:t>
      </w:r>
      <w:r>
        <w:rPr>
          <w:rFonts w:ascii="Courier New" w:hAnsi="Courier New" w:eastAsia="Courier New"/>
          <w:color w:val="000000"/>
          <w:spacing w:val="-7"/>
          <w:w w:val="95"/>
          <w:sz w:val="26"/>
          <w:vertAlign w:val="baseline"/>
          <w:lang w:val="en-US"/>
        </w:rPr>
        <w:t xml:space="preserve"> 226 Minn. 186, 32 N.W.2d 538 (1948).</w:t>
      </w:r>
    </w:p>
    <w:p>
      <w:pPr>
        <w:spacing w:before="254" w:after="1738" w:line="240" w:lineRule="exact"/>
        <w:sectPr>
          <w:type w:val="nextPage"/>
          <w:pgSz w:w="12240" w:h="15840" w:orient="portrait"/>
          <w:pgMar w:bottom="884" w:top="1520" w:right="1514" w:left="1280" w:header="720" w:footer="720"/>
          <w:titlePg w:val="false"/>
          <w:textDirection w:val="lrTb"/>
        </w:sectPr>
      </w:pPr>
    </w:p>
    <w:p>
      <w:pPr>
        <w:spacing w:before="0" w:after="0" w:line="212" w:lineRule="exact"/>
        <w:ind w:right="0" w:left="0" w:firstLine="0"/>
        <w:jc w:val="center"/>
        <w:textAlignment w:val="baseline"/>
        <w:rPr>
          <w:rFonts w:ascii="Bookman Old Style" w:hAnsi="Bookman Old Style" w:eastAsia="Bookman Old Style"/>
          <w:color w:val="000000"/>
          <w:spacing w:val="0"/>
          <w:w w:val="100"/>
          <w:sz w:val="18"/>
          <w:vertAlign w:val="baseline"/>
          <w:lang w:val="en-US"/>
        </w:rPr>
      </w:pPr>
      <w:r>
        <w:rPr>
          <w:rFonts w:ascii="Bookman Old Style" w:hAnsi="Bookman Old Style" w:eastAsia="Bookman Old Style"/>
          <w:color w:val="000000"/>
          <w:spacing w:val="0"/>
          <w:w w:val="100"/>
          <w:sz w:val="18"/>
          <w:vertAlign w:val="baseline"/>
          <w:lang w:val="en-US"/>
        </w:rPr>
        <w:t xml:space="preserve">3</w:t>
      </w:r>
    </w:p>
    <w:p>
      <w:pPr>
        <w:sectPr>
          <w:type w:val="continuous"/>
          <w:pgSz w:w="12240" w:h="15840" w:orient="portrait"/>
          <w:pgMar w:bottom="884" w:top="1520" w:right="1600" w:left="1240" w:header="720" w:footer="720"/>
          <w:titlePg w:val="false"/>
          <w:textDirection w:val="lrTb"/>
        </w:sectPr>
      </w:pPr>
    </w:p>
    <w:p>
      <w:pPr>
        <w:spacing w:before="41" w:after="0" w:line="241" w:lineRule="exact"/>
        <w:ind w:right="0" w:left="72" w:firstLine="0"/>
        <w:jc w:val="right"/>
        <w:textAlignment w:val="baseline"/>
        <w:rPr>
          <w:rFonts w:ascii="Courier New" w:hAnsi="Courier New" w:eastAsia="Courier New"/>
          <w:color w:val="000000"/>
          <w:spacing w:val="-12"/>
          <w:w w:val="100"/>
          <w:sz w:val="26"/>
          <w:vertAlign w:val="baseline"/>
          <w:lang w:val="en-US"/>
        </w:rPr>
      </w:pPr>
      <w:r>
        <w:rPr>
          <w:rFonts w:ascii="Courier New" w:hAnsi="Courier New" w:eastAsia="Courier New"/>
          <w:color w:val="000000"/>
          <w:spacing w:val="-12"/>
          <w:w w:val="100"/>
          <w:sz w:val="26"/>
          <w:vertAlign w:val="baseline"/>
          <w:lang w:val="en-US"/>
        </w:rPr>
        <w:t xml:space="preserve">MINNESOTA: DUE PROCESS DETERMINATION</w:t>
      </w:r>
    </w:p>
    <w:p>
      <w:pPr>
        <w:spacing w:before="738" w:after="0" w:line="241" w:lineRule="exact"/>
        <w:ind w:right="432" w:left="792" w:hanging="720"/>
        <w:jc w:val="left"/>
        <w:textAlignment w:val="baseline"/>
        <w:rPr>
          <w:rFonts w:ascii="Courier New" w:hAnsi="Courier New" w:eastAsia="Courier New"/>
          <w:color w:val="000000"/>
          <w:spacing w:val="0"/>
          <w:w w:val="100"/>
          <w:sz w:val="26"/>
          <w:vertAlign w:val="baseline"/>
          <w:lang w:val="en-US"/>
        </w:rPr>
      </w:pPr>
      <w:r>
        <w:rPr>
          <w:rFonts w:ascii="Courier New" w:hAnsi="Courier New" w:eastAsia="Courier New"/>
          <w:color w:val="000000"/>
          <w:spacing w:val="0"/>
          <w:w w:val="100"/>
          <w:sz w:val="26"/>
          <w:vertAlign w:val="baseline"/>
          <w:lang w:val="en-US"/>
        </w:rPr>
        <w:t xml:space="preserve">IV. </w:t>
      </w:r>
      <w:r>
        <w:rPr>
          <w:rFonts w:ascii="Courier New" w:hAnsi="Courier New" w:eastAsia="Courier New"/>
          <w:color w:val="000000"/>
          <w:spacing w:val="0"/>
          <w:w w:val="100"/>
          <w:sz w:val="26"/>
          <w:u w:val="single"/>
          <w:vertAlign w:val="baseline"/>
          <w:lang w:val="en-US"/>
        </w:rPr>
        <w:t xml:space="preserve">Analysis of Minnesota Eviction Procedures for Each of the Regulatory Due Process Elements </w:t>
      </w:r>
    </w:p>
    <w:p>
      <w:pPr>
        <w:numPr>
          <w:ilvl w:val="0"/>
          <w:numId w:val="5"/>
        </w:numPr>
        <w:tabs>
          <w:tab w:val="clear" w:pos="720"/>
          <w:tab w:val="left" w:pos="1512"/>
        </w:tabs>
        <w:spacing w:before="235" w:after="0" w:line="241" w:lineRule="exact"/>
        <w:ind w:right="0" w:left="1512" w:hanging="720"/>
        <w:jc w:val="left"/>
        <w:textAlignment w:val="baseline"/>
        <w:rPr>
          <w:rFonts w:ascii="Courier New" w:hAnsi="Courier New" w:eastAsia="Courier New"/>
          <w:color w:val="000000"/>
          <w:spacing w:val="-7"/>
          <w:w w:val="95"/>
          <w:sz w:val="26"/>
          <w:u w:val="single"/>
          <w:vertAlign w:val="baseline"/>
          <w:lang w:val="en-US"/>
        </w:rPr>
      </w:pPr>
      <w:r>
        <w:rPr>
          <w:rFonts w:ascii="Courier New" w:hAnsi="Courier New" w:eastAsia="Courier New"/>
          <w:color w:val="000000"/>
          <w:spacing w:val="-7"/>
          <w:w w:val="95"/>
          <w:sz w:val="26"/>
          <w:u w:val="single"/>
          <w:vertAlign w:val="baseline"/>
          <w:lang w:val="en-US"/>
        </w:rPr>
        <w:t xml:space="preserve">Adequate notice to the tenant of the grounds for </w:t>
      </w:r>
    </w:p>
    <w:p>
      <w:pPr>
        <w:spacing w:before="0" w:after="0" w:line="240" w:lineRule="exact"/>
        <w:ind w:right="0" w:left="1512" w:firstLine="0"/>
        <w:jc w:val="left"/>
        <w:textAlignment w:val="baseline"/>
        <w:rPr>
          <w:rFonts w:ascii="Courier New" w:hAnsi="Courier New" w:eastAsia="Courier New"/>
          <w:color w:val="000000"/>
          <w:spacing w:val="-13"/>
          <w:w w:val="100"/>
          <w:sz w:val="26"/>
          <w:u w:val="single"/>
          <w:vertAlign w:val="baseline"/>
          <w:lang w:val="en-US"/>
        </w:rPr>
      </w:pPr>
      <w:r>
        <w:rPr>
          <w:rFonts w:ascii="Courier New" w:hAnsi="Courier New" w:eastAsia="Courier New"/>
          <w:color w:val="000000"/>
          <w:spacing w:val="-13"/>
          <w:w w:val="100"/>
          <w:sz w:val="26"/>
          <w:u w:val="single"/>
          <w:vertAlign w:val="baseline"/>
          <w:lang w:val="en-US"/>
        </w:rPr>
        <w:t xml:space="preserve">terminating the tenancy and for eviction</w:t>
      </w:r>
    </w:p>
    <w:p>
      <w:pPr>
        <w:spacing w:before="8" w:after="0" w:line="241" w:lineRule="exact"/>
        <w:ind w:right="0" w:left="1512" w:firstLine="0"/>
        <w:jc w:val="left"/>
        <w:textAlignment w:val="baseline"/>
        <w:rPr>
          <w:rFonts w:ascii="Courier New" w:hAnsi="Courier New" w:eastAsia="Courier New"/>
          <w:color w:val="000000"/>
          <w:spacing w:val="-11"/>
          <w:w w:val="95"/>
          <w:sz w:val="26"/>
          <w:u w:val="single"/>
          <w:vertAlign w:val="baseline"/>
          <w:lang w:val="en-US"/>
        </w:rPr>
      </w:pPr>
      <w:r>
        <w:rPr>
          <w:rFonts w:ascii="Courier New" w:hAnsi="Courier New" w:eastAsia="Courier New"/>
          <w:color w:val="000000"/>
          <w:spacing w:val="-11"/>
          <w:w w:val="95"/>
          <w:sz w:val="26"/>
          <w:u w:val="single"/>
          <w:vertAlign w:val="baseline"/>
          <w:lang w:val="en-US"/>
        </w:rPr>
        <w:t xml:space="preserve">(24 C.F.R. S 966.53(c)(1)) </w:t>
      </w:r>
    </w:p>
    <w:p>
      <w:pPr>
        <w:spacing w:before="232" w:after="0" w:line="241" w:lineRule="exact"/>
        <w:ind w:right="216" w:left="72" w:firstLine="720"/>
        <w:jc w:val="left"/>
        <w:textAlignment w:val="baseline"/>
        <w:rPr>
          <w:rFonts w:ascii="Courier New" w:hAnsi="Courier New" w:eastAsia="Courier New"/>
          <w:color w:val="000000"/>
          <w:spacing w:val="-6"/>
          <w:w w:val="95"/>
          <w:sz w:val="26"/>
          <w:vertAlign w:val="baseline"/>
          <w:lang w:val="en-US"/>
        </w:rPr>
      </w:pPr>
      <w:r>
        <w:rPr>
          <w:rFonts w:ascii="Courier New" w:hAnsi="Courier New" w:eastAsia="Courier New"/>
          <w:color w:val="000000"/>
          <w:spacing w:val="-6"/>
          <w:w w:val="95"/>
          <w:sz w:val="26"/>
          <w:vertAlign w:val="baseline"/>
          <w:lang w:val="en-US"/>
        </w:rPr>
        <w:t xml:space="preserve">The complaint, setting forth the facts which authorize the recovery, must be attached to the summons. The summons must state that the complaint is attached thereto, and that the original complaint has been filed with the court. MSA S 566.05. Service must be made at least seven days before the return day, in the manner provided for service of summons in a civil action in the district court. MSA S 566.06</w:t>
      </w:r>
      <w:r>
        <w:rPr>
          <w:rFonts w:ascii="Lucida Console" w:hAnsi="Lucida Console" w:eastAsia="Lucida Console"/>
          <w:color w:val="000000"/>
          <w:spacing w:val="-6"/>
          <w:w w:val="95"/>
          <w:sz w:val="26"/>
          <w:vertAlign w:val="superscript"/>
          <w:lang w:val="en-US"/>
        </w:rPr>
        <w:t xml:space="preserve">3</w:t>
      </w:r>
      <w:r>
        <w:rPr>
          <w:rFonts w:ascii="Courier New" w:hAnsi="Courier New" w:eastAsia="Courier New"/>
          <w:color w:val="000000"/>
          <w:spacing w:val="-6"/>
          <w:w w:val="95"/>
          <w:sz w:val="26"/>
          <w:vertAlign w:val="baseline"/>
          <w:lang w:val="en-US"/>
        </w:rPr>
        <w:t xml:space="preserve">.</w:t>
      </w:r>
    </w:p>
    <w:p>
      <w:pPr>
        <w:spacing w:before="247" w:after="0" w:line="241" w:lineRule="exact"/>
        <w:ind w:right="0" w:left="72" w:firstLine="720"/>
        <w:jc w:val="left"/>
        <w:textAlignment w:val="baseline"/>
        <w:rPr>
          <w:rFonts w:ascii="Courier New" w:hAnsi="Courier New" w:eastAsia="Courier New"/>
          <w:color w:val="000000"/>
          <w:spacing w:val="-7"/>
          <w:w w:val="95"/>
          <w:sz w:val="26"/>
          <w:vertAlign w:val="baseline"/>
          <w:lang w:val="en-US"/>
        </w:rPr>
      </w:pPr>
      <w:r>
        <w:rPr>
          <w:rFonts w:ascii="Courier New" w:hAnsi="Courier New" w:eastAsia="Courier New"/>
          <w:color w:val="000000"/>
          <w:spacing w:val="-7"/>
          <w:w w:val="95"/>
          <w:sz w:val="26"/>
          <w:vertAlign w:val="baseline"/>
          <w:lang w:val="en-US"/>
        </w:rPr>
        <w:t xml:space="preserve">Adequate notice to the tenant of the grounds for terminating the tenancy and for eviction is provided under Minnesota law by service of the complaint. Adequate notice also is required by the due process clause of the Minnesota State Constitution. Article I, Section 7.</w:t>
      </w:r>
    </w:p>
    <w:p>
      <w:pPr>
        <w:numPr>
          <w:ilvl w:val="0"/>
          <w:numId w:val="5"/>
        </w:numPr>
        <w:tabs>
          <w:tab w:val="clear" w:pos="720"/>
          <w:tab w:val="left" w:pos="1512"/>
        </w:tabs>
        <w:spacing w:before="237" w:after="0" w:line="241" w:lineRule="exact"/>
        <w:ind w:right="0" w:left="1512" w:hanging="720"/>
        <w:jc w:val="left"/>
        <w:textAlignment w:val="baseline"/>
        <w:rPr>
          <w:rFonts w:ascii="Courier New" w:hAnsi="Courier New" w:eastAsia="Courier New"/>
          <w:color w:val="000000"/>
          <w:spacing w:val="0"/>
          <w:w w:val="100"/>
          <w:sz w:val="26"/>
          <w:u w:val="single"/>
          <w:vertAlign w:val="baseline"/>
          <w:lang w:val="en-US"/>
        </w:rPr>
      </w:pPr>
      <w:r>
        <w:rPr>
          <w:rFonts w:ascii="Courier New" w:hAnsi="Courier New" w:eastAsia="Courier New"/>
          <w:color w:val="000000"/>
          <w:spacing w:val="0"/>
          <w:w w:val="100"/>
          <w:sz w:val="26"/>
          <w:u w:val="single"/>
          <w:vertAlign w:val="baseline"/>
          <w:lang w:val="en-US"/>
        </w:rPr>
        <w:t xml:space="preserve">Right to be represented by counsel </w:t>
        <w:br/>
      </w:r>
      <w:r>
        <w:rPr>
          <w:rFonts w:ascii="Courier New" w:hAnsi="Courier New" w:eastAsia="Courier New"/>
          <w:color w:val="000000"/>
          <w:spacing w:val="0"/>
          <w:w w:val="100"/>
          <w:sz w:val="26"/>
          <w:u w:val="single"/>
          <w:vertAlign w:val="baseline"/>
          <w:lang w:val="en-US"/>
        </w:rPr>
        <w:t xml:space="preserve">(24 C.F.R. S 966.53(c)(2)) </w:t>
      </w:r>
    </w:p>
    <w:p>
      <w:pPr>
        <w:spacing w:before="220" w:after="0" w:line="241" w:lineRule="exact"/>
        <w:ind w:right="144" w:left="72" w:firstLine="720"/>
        <w:jc w:val="left"/>
        <w:textAlignment w:val="baseline"/>
        <w:rPr>
          <w:rFonts w:ascii="Courier New" w:hAnsi="Courier New" w:eastAsia="Courier New"/>
          <w:color w:val="000000"/>
          <w:spacing w:val="-9"/>
          <w:w w:val="95"/>
          <w:sz w:val="26"/>
          <w:vertAlign w:val="baseline"/>
          <w:lang w:val="en-US"/>
        </w:rPr>
      </w:pPr>
      <w:r>
        <w:rPr>
          <w:rFonts w:ascii="Courier New" w:hAnsi="Courier New" w:eastAsia="Courier New"/>
          <w:color w:val="000000"/>
          <w:spacing w:val="-9"/>
          <w:w w:val="95"/>
          <w:sz w:val="26"/>
          <w:vertAlign w:val="baseline"/>
          <w:lang w:val="en-US"/>
        </w:rPr>
        <w:t xml:space="preserve">Although the right to representation by counsel in civil proceedings is not explicitly stated by Minnesota statutes and court rules (except in the Housing Court Rules of Hennepin and Ramsey Counties</w:t>
      </w:r>
      <w:r>
        <w:rPr>
          <w:rFonts w:ascii="Lucida Console" w:hAnsi="Lucida Console" w:eastAsia="Lucida Console"/>
          <w:color w:val="000000"/>
          <w:spacing w:val="-9"/>
          <w:w w:val="95"/>
          <w:sz w:val="26"/>
          <w:vertAlign w:val="superscript"/>
          <w:lang w:val="en-US"/>
        </w:rPr>
        <w:t xml:space="preserve">4</w:t>
      </w:r>
      <w:r>
        <w:rPr>
          <w:rFonts w:ascii="Courier New" w:hAnsi="Courier New" w:eastAsia="Courier New"/>
          <w:color w:val="000000"/>
          <w:spacing w:val="-9"/>
          <w:w w:val="95"/>
          <w:sz w:val="26"/>
          <w:vertAlign w:val="baseline"/>
          <w:lang w:val="en-US"/>
        </w:rPr>
        <w:t xml:space="preserve">), many provisions imply that there is a right of representation by counsel. The following are some examples:</w:t>
      </w:r>
    </w:p>
    <w:p>
      <w:pPr>
        <w:spacing w:before="235" w:after="557" w:line="241" w:lineRule="exact"/>
        <w:ind w:right="504" w:left="792" w:hanging="720"/>
        <w:jc w:val="left"/>
        <w:textAlignment w:val="baseline"/>
        <w:rPr>
          <w:rFonts w:ascii="Courier New" w:hAnsi="Courier New" w:eastAsia="Courier New"/>
          <w:color w:val="000000"/>
          <w:spacing w:val="-9"/>
          <w:w w:val="95"/>
          <w:sz w:val="26"/>
          <w:vertAlign w:val="baseline"/>
          <w:lang w:val="en-US"/>
        </w:rPr>
      </w:pPr>
      <w:r>
        <w:rPr>
          <w:rFonts w:ascii="Courier New" w:hAnsi="Courier New" w:eastAsia="Courier New"/>
          <w:color w:val="000000"/>
          <w:spacing w:val="-9"/>
          <w:w w:val="95"/>
          <w:sz w:val="26"/>
          <w:vertAlign w:val="baseline"/>
          <w:lang w:val="en-US"/>
        </w:rPr>
        <w:t xml:space="preserve">(1) Every pleading, motion and other paper of a party represented by an attorney must be signed by at least one attorney of record in the attorney's individual name. A party who is not represented by an attorney must sign the pleading, motion or other paper (RCP Rule 11).</w:t>
      </w:r>
    </w:p>
    <w:p>
      <w:pPr>
        <w:spacing w:before="185" w:after="0" w:line="241" w:lineRule="exact"/>
        <w:ind w:right="360" w:left="72" w:firstLine="648"/>
        <w:jc w:val="left"/>
        <w:textAlignment w:val="baseline"/>
        <w:rPr>
          <w:rFonts w:ascii="Lucida Console" w:hAnsi="Lucida Console" w:eastAsia="Lucida Console"/>
          <w:b w:val="true"/>
          <w:color w:val="000000"/>
          <w:spacing w:val="0"/>
          <w:w w:val="95"/>
          <w:sz w:val="14"/>
          <w:vertAlign w:val="superscript"/>
          <w:lang w:val="en-US"/>
        </w:rPr>
      </w:pPr>
      <w:r>
        <w:pict>
          <v:line strokeweight="0.95pt" strokecolor="#000000" from="64.45pt,571.9pt" to="209.8pt,571.9pt" style="position:absolute;mso-position-horizontal-relative:page;mso-position-vertical-relative:page;">
            <v:stroke dashstyle="solid"/>
          </v:line>
        </w:pict>
      </w:r>
      <w:r>
        <w:rPr>
          <w:rFonts w:ascii="Lucida Console" w:hAnsi="Lucida Console" w:eastAsia="Lucida Console"/>
          <w:b w:val="true"/>
          <w:color w:val="000000"/>
          <w:spacing w:val="0"/>
          <w:w w:val="95"/>
          <w:sz w:val="14"/>
          <w:vertAlign w:val="superscript"/>
          <w:lang w:val="en-US"/>
        </w:rPr>
        <w:t xml:space="preserve">3</w:t>
      </w:r>
      <w:r>
        <w:rPr>
          <w:rFonts w:ascii="Courier New" w:hAnsi="Courier New" w:eastAsia="Courier New"/>
          <w:color w:val="000000"/>
          <w:spacing w:val="0"/>
          <w:w w:val="95"/>
          <w:sz w:val="26"/>
          <w:vertAlign w:val="baseline"/>
          <w:lang w:val="en-US"/>
        </w:rPr>
        <w:t xml:space="preserve"> The Rules of the Housing Court in Hennepin and Ramsey Counties contain the same requirements. Minn.Gen.R.Prac. Rules 604-605.</w:t>
      </w:r>
    </w:p>
    <w:p>
      <w:pPr>
        <w:spacing w:before="244" w:after="0" w:line="241" w:lineRule="exact"/>
        <w:ind w:right="360" w:left="72" w:firstLine="648"/>
        <w:jc w:val="left"/>
        <w:textAlignment w:val="baseline"/>
        <w:rPr>
          <w:rFonts w:ascii="Lucida Console" w:hAnsi="Lucida Console" w:eastAsia="Lucida Console"/>
          <w:b w:val="true"/>
          <w:color w:val="000000"/>
          <w:spacing w:val="-9"/>
          <w:w w:val="95"/>
          <w:sz w:val="14"/>
          <w:vertAlign w:val="superscript"/>
          <w:lang w:val="en-US"/>
        </w:rPr>
      </w:pPr>
      <w:r>
        <w:rPr>
          <w:rFonts w:ascii="Lucida Console" w:hAnsi="Lucida Console" w:eastAsia="Lucida Console"/>
          <w:b w:val="true"/>
          <w:color w:val="000000"/>
          <w:spacing w:val="-9"/>
          <w:w w:val="95"/>
          <w:sz w:val="14"/>
          <w:vertAlign w:val="superscript"/>
          <w:lang w:val="en-US"/>
        </w:rPr>
        <w:t xml:space="preserve">4</w:t>
      </w:r>
      <w:r>
        <w:rPr>
          <w:rFonts w:ascii="Courier New" w:hAnsi="Courier New" w:eastAsia="Courier New"/>
          <w:color w:val="000000"/>
          <w:spacing w:val="-9"/>
          <w:w w:val="95"/>
          <w:sz w:val="26"/>
          <w:vertAlign w:val="baseline"/>
          <w:lang w:val="en-US"/>
        </w:rPr>
        <w:t xml:space="preserve"> The Housing Court Rules provide that no person "other than a principal or a duly licenced lawyer shall be allowed to appear in Housing Court unless the Power of Authority [for an agent suing on behalf of a principal] is attached to the complaint at the time of filing . . . ." Minn.Gen.R.Prac. Rule 603.</w:t>
      </w:r>
    </w:p>
    <w:p>
      <w:pPr>
        <w:spacing w:before="244" w:after="0" w:line="217" w:lineRule="exact"/>
        <w:ind w:right="0" w:left="72" w:firstLine="0"/>
        <w:jc w:val="center"/>
        <w:textAlignment w:val="baseline"/>
        <w:rPr>
          <w:rFonts w:ascii="Times New Roman" w:hAnsi="Times New Roman" w:eastAsia="Times New Roman"/>
          <w:b w:val="true"/>
          <w:color w:val="000000"/>
          <w:spacing w:val="0"/>
          <w:w w:val="100"/>
          <w:sz w:val="20"/>
          <w:vertAlign w:val="baseline"/>
          <w:lang w:val="en-US"/>
        </w:rPr>
      </w:pPr>
      <w:r>
        <w:rPr>
          <w:rFonts w:ascii="Times New Roman" w:hAnsi="Times New Roman" w:eastAsia="Times New Roman"/>
          <w:b w:val="true"/>
          <w:color w:val="000000"/>
          <w:spacing w:val="0"/>
          <w:w w:val="100"/>
          <w:sz w:val="20"/>
          <w:vertAlign w:val="baseline"/>
          <w:lang w:val="en-US"/>
        </w:rPr>
        <w:t xml:space="preserve">4</w:t>
      </w:r>
    </w:p>
    <w:p>
      <w:pPr>
        <w:sectPr>
          <w:type w:val="nextPage"/>
          <w:pgSz w:w="12240" w:h="15840" w:orient="portrait"/>
          <w:pgMar w:bottom="944" w:top="1440" w:right="1505" w:left="1289" w:header="720" w:footer="720"/>
          <w:titlePg w:val="false"/>
          <w:textDirection w:val="lrTb"/>
        </w:sectPr>
      </w:pPr>
    </w:p>
    <w:p>
      <w:pPr>
        <w:spacing w:before="30" w:after="0" w:line="243" w:lineRule="exact"/>
        <w:ind w:right="0" w:left="0" w:firstLine="0"/>
        <w:jc w:val="right"/>
        <w:textAlignment w:val="baseline"/>
        <w:rPr>
          <w:rFonts w:ascii="Courier New" w:hAnsi="Courier New" w:eastAsia="Courier New"/>
          <w:color w:val="000000"/>
          <w:spacing w:val="-12"/>
          <w:w w:val="100"/>
          <w:sz w:val="26"/>
          <w:vertAlign w:val="baseline"/>
          <w:lang w:val="en-US"/>
        </w:rPr>
      </w:pPr>
      <w:r>
        <w:rPr>
          <w:rFonts w:ascii="Courier New" w:hAnsi="Courier New" w:eastAsia="Courier New"/>
          <w:color w:val="000000"/>
          <w:spacing w:val="-12"/>
          <w:w w:val="100"/>
          <w:sz w:val="26"/>
          <w:vertAlign w:val="baseline"/>
          <w:lang w:val="en-US"/>
        </w:rPr>
        <w:t xml:space="preserve">MINNESOTA: DUE PROCESS DETERMINATION</w:t>
      </w:r>
    </w:p>
    <w:p>
      <w:pPr>
        <w:numPr>
          <w:ilvl w:val="0"/>
          <w:numId w:val="6"/>
        </w:numPr>
        <w:tabs>
          <w:tab w:val="clear" w:pos="720"/>
          <w:tab w:val="left" w:pos="864"/>
        </w:tabs>
        <w:spacing w:before="753" w:after="0" w:line="243" w:lineRule="exact"/>
        <w:ind w:right="792" w:left="864" w:hanging="720"/>
        <w:jc w:val="left"/>
        <w:textAlignment w:val="baseline"/>
        <w:rPr>
          <w:rFonts w:ascii="Courier New" w:hAnsi="Courier New" w:eastAsia="Courier New"/>
          <w:color w:val="000000"/>
          <w:spacing w:val="-8"/>
          <w:w w:val="95"/>
          <w:sz w:val="26"/>
          <w:vertAlign w:val="baseline"/>
          <w:lang w:val="en-US"/>
        </w:rPr>
      </w:pPr>
      <w:r>
        <w:rPr>
          <w:rFonts w:ascii="Courier New" w:hAnsi="Courier New" w:eastAsia="Courier New"/>
          <w:color w:val="000000"/>
          <w:spacing w:val="-8"/>
          <w:w w:val="95"/>
          <w:sz w:val="26"/>
          <w:vertAlign w:val="baseline"/>
          <w:lang w:val="en-US"/>
        </w:rPr>
        <w:t xml:space="preserve">A person who is not a licensed attorney-at-law is not authorized to conduct a jury trial, or appear pursuant to an appeal in the district court or court of appeals, in any FED Action (MSA S 481.02 Subd. 3(13)).</w:t>
      </w:r>
    </w:p>
    <w:p>
      <w:pPr>
        <w:numPr>
          <w:ilvl w:val="0"/>
          <w:numId w:val="6"/>
        </w:numPr>
        <w:tabs>
          <w:tab w:val="clear" w:pos="720"/>
          <w:tab w:val="left" w:pos="864"/>
        </w:tabs>
        <w:spacing w:before="246" w:after="0" w:line="238" w:lineRule="exact"/>
        <w:ind w:right="864" w:left="864" w:hanging="720"/>
        <w:jc w:val="left"/>
        <w:textAlignment w:val="baseline"/>
        <w:rPr>
          <w:rFonts w:ascii="Courier New" w:hAnsi="Courier New" w:eastAsia="Courier New"/>
          <w:color w:val="000000"/>
          <w:spacing w:val="-8"/>
          <w:w w:val="95"/>
          <w:sz w:val="26"/>
          <w:vertAlign w:val="baseline"/>
          <w:lang w:val="en-US"/>
        </w:rPr>
      </w:pPr>
      <w:r>
        <w:rPr>
          <w:rFonts w:ascii="Courier New" w:hAnsi="Courier New" w:eastAsia="Courier New"/>
          <w:color w:val="000000"/>
          <w:spacing w:val="-8"/>
          <w:w w:val="95"/>
          <w:sz w:val="26"/>
          <w:vertAlign w:val="baseline"/>
          <w:lang w:val="en-US"/>
        </w:rPr>
        <w:t xml:space="preserve">Lawyers permitted to practice in the trial courts of other jurisdictions may appear in any Minnesota court provided the pleadings also are signed by a lawyer admitted to practice in Minnesota and that lawyer also is present before the court (Minn.Gen.R.Prac. Rule 5).</w:t>
      </w:r>
    </w:p>
    <w:p>
      <w:pPr>
        <w:numPr>
          <w:ilvl w:val="0"/>
          <w:numId w:val="6"/>
        </w:numPr>
        <w:tabs>
          <w:tab w:val="clear" w:pos="720"/>
          <w:tab w:val="left" w:pos="864"/>
        </w:tabs>
        <w:spacing w:before="224" w:after="0" w:line="243" w:lineRule="exact"/>
        <w:ind w:right="792" w:left="864" w:hanging="720"/>
        <w:jc w:val="left"/>
        <w:textAlignment w:val="baseline"/>
        <w:rPr>
          <w:rFonts w:ascii="Courier New" w:hAnsi="Courier New" w:eastAsia="Courier New"/>
          <w:color w:val="000000"/>
          <w:spacing w:val="0"/>
          <w:w w:val="100"/>
          <w:sz w:val="26"/>
          <w:vertAlign w:val="baseline"/>
          <w:lang w:val="en-US"/>
        </w:rPr>
      </w:pPr>
      <w:r>
        <w:rPr>
          <w:rFonts w:ascii="Courier New" w:hAnsi="Courier New" w:eastAsia="Courier New"/>
          <w:color w:val="000000"/>
          <w:spacing w:val="0"/>
          <w:w w:val="100"/>
          <w:sz w:val="26"/>
          <w:vertAlign w:val="baseline"/>
          <w:lang w:val="en-US"/>
        </w:rPr>
        <w:t xml:space="preserve">A party filing a civil case must notify the court administrator of the name, address and telephone number of all counsel and unrepresented parties</w:t>
      </w:r>
    </w:p>
    <w:p>
      <w:pPr>
        <w:spacing w:before="23" w:after="0" w:line="243" w:lineRule="exact"/>
        <w:ind w:right="0" w:left="864" w:firstLine="0"/>
        <w:jc w:val="left"/>
        <w:textAlignment w:val="baseline"/>
        <w:rPr>
          <w:rFonts w:ascii="Courier New" w:hAnsi="Courier New" w:eastAsia="Courier New"/>
          <w:color w:val="000000"/>
          <w:spacing w:val="-8"/>
          <w:w w:val="95"/>
          <w:sz w:val="26"/>
          <w:vertAlign w:val="baseline"/>
          <w:lang w:val="en-US"/>
        </w:rPr>
      </w:pPr>
      <w:r>
        <w:rPr>
          <w:rFonts w:ascii="Courier New" w:hAnsi="Courier New" w:eastAsia="Courier New"/>
          <w:color w:val="000000"/>
          <w:spacing w:val="-8"/>
          <w:w w:val="95"/>
          <w:sz w:val="26"/>
          <w:vertAlign w:val="baseline"/>
          <w:lang w:val="en-US"/>
        </w:rPr>
        <w:t xml:space="preserve">(Minn.Gen.R.Prac. Rule 104).</w:t>
      </w:r>
    </w:p>
    <w:p>
      <w:pPr>
        <w:numPr>
          <w:ilvl w:val="0"/>
          <w:numId w:val="6"/>
        </w:numPr>
        <w:tabs>
          <w:tab w:val="clear" w:pos="720"/>
          <w:tab w:val="left" w:pos="864"/>
        </w:tabs>
        <w:spacing w:before="200" w:after="0" w:line="243" w:lineRule="exact"/>
        <w:ind w:right="936" w:left="864" w:hanging="720"/>
        <w:jc w:val="left"/>
        <w:textAlignment w:val="baseline"/>
        <w:rPr>
          <w:rFonts w:ascii="Courier New" w:hAnsi="Courier New" w:eastAsia="Courier New"/>
          <w:color w:val="000000"/>
          <w:spacing w:val="-9"/>
          <w:w w:val="95"/>
          <w:sz w:val="26"/>
          <w:vertAlign w:val="baseline"/>
          <w:lang w:val="en-US"/>
        </w:rPr>
      </w:pPr>
      <w:r>
        <w:rPr>
          <w:rFonts w:ascii="Courier New" w:hAnsi="Courier New" w:eastAsia="Courier New"/>
          <w:color w:val="000000"/>
          <w:spacing w:val="-9"/>
          <w:w w:val="95"/>
          <w:sz w:val="26"/>
          <w:vertAlign w:val="baseline"/>
          <w:lang w:val="en-US"/>
        </w:rPr>
        <w:t xml:space="preserve">withdrawal will be effective only if written notice of After a lawyer has appeared for a party in any action,</w:t>
      </w:r>
    </w:p>
    <w:p>
      <w:pPr>
        <w:spacing w:before="7" w:after="0" w:line="243" w:lineRule="exact"/>
        <w:ind w:right="936" w:left="864" w:firstLine="0"/>
        <w:jc w:val="left"/>
        <w:textAlignment w:val="baseline"/>
        <w:rPr>
          <w:rFonts w:ascii="Courier New" w:hAnsi="Courier New" w:eastAsia="Courier New"/>
          <w:color w:val="000000"/>
          <w:spacing w:val="-11"/>
          <w:w w:val="95"/>
          <w:sz w:val="26"/>
          <w:vertAlign w:val="baseline"/>
          <w:lang w:val="en-US"/>
        </w:rPr>
      </w:pPr>
      <w:r>
        <w:rPr>
          <w:rFonts w:ascii="Courier New" w:hAnsi="Courier New" w:eastAsia="Courier New"/>
          <w:color w:val="000000"/>
          <w:spacing w:val="-11"/>
          <w:w w:val="95"/>
          <w:sz w:val="26"/>
          <w:vertAlign w:val="baseline"/>
          <w:lang w:val="en-US"/>
        </w:rPr>
        <w:t xml:space="preserve">withdrawal is served on all parties who have appeared, or their lawyers if represented by counsel, and is filed with the court administrator (Minn.Gen.R.Prac. Rule 105).</w:t>
      </w:r>
    </w:p>
    <w:p>
      <w:pPr>
        <w:spacing w:before="221" w:after="0" w:line="243" w:lineRule="exact"/>
        <w:ind w:right="144" w:left="0" w:firstLine="864"/>
        <w:jc w:val="left"/>
        <w:textAlignment w:val="baseline"/>
        <w:rPr>
          <w:rFonts w:ascii="Courier New" w:hAnsi="Courier New" w:eastAsia="Courier New"/>
          <w:color w:val="000000"/>
          <w:spacing w:val="-9"/>
          <w:w w:val="100"/>
          <w:sz w:val="26"/>
          <w:vertAlign w:val="baseline"/>
          <w:lang w:val="en-US"/>
        </w:rPr>
      </w:pPr>
      <w:r>
        <w:rPr>
          <w:rFonts w:ascii="Courier New" w:hAnsi="Courier New" w:eastAsia="Courier New"/>
          <w:color w:val="000000"/>
          <w:spacing w:val="-9"/>
          <w:w w:val="100"/>
          <w:sz w:val="26"/>
          <w:vertAlign w:val="baseline"/>
          <w:lang w:val="en-US"/>
        </w:rPr>
        <w:t xml:space="preserve">The right to representation by counsel in civil actions also is required by the due process clause of the Minnesota Constitution. Article I, Section 7.</w:t>
      </w:r>
    </w:p>
    <w:p>
      <w:pPr>
        <w:tabs>
          <w:tab w:val="left" w:leader="none" w:pos="1512"/>
        </w:tabs>
        <w:spacing w:before="239" w:after="0" w:line="239" w:lineRule="exact"/>
        <w:ind w:right="288" w:left="1512" w:hanging="648"/>
        <w:jc w:val="left"/>
        <w:textAlignment w:val="baseline"/>
        <w:rPr>
          <w:rFonts w:ascii="Courier New" w:hAnsi="Courier New" w:eastAsia="Courier New"/>
          <w:color w:val="000000"/>
          <w:spacing w:val="-9"/>
          <w:w w:val="95"/>
          <w:sz w:val="26"/>
          <w:vertAlign w:val="baseline"/>
          <w:lang w:val="en-US"/>
        </w:rPr>
      </w:pPr>
      <w:r>
        <w:rPr>
          <w:rFonts w:ascii="Courier New" w:hAnsi="Courier New" w:eastAsia="Courier New"/>
          <w:color w:val="000000"/>
          <w:spacing w:val="-9"/>
          <w:w w:val="95"/>
          <w:sz w:val="26"/>
          <w:vertAlign w:val="baseline"/>
          <w:lang w:val="en-US"/>
        </w:rPr>
        <w:t xml:space="preserve">C.	</w:t>
      </w:r>
      <w:r>
        <w:rPr>
          <w:rFonts w:ascii="Courier New" w:hAnsi="Courier New" w:eastAsia="Courier New"/>
          <w:color w:val="000000"/>
          <w:spacing w:val="-9"/>
          <w:w w:val="95"/>
          <w:sz w:val="26"/>
          <w:u w:val="single"/>
          <w:vertAlign w:val="baseline"/>
          <w:lang w:val="en-US"/>
        </w:rPr>
        <w:t xml:space="preserve">Opportunity for the tenant to refute the evidence  presented by the PHA, including the right to confront  and cross-examine witnesses (24 C.F.R. § 966.53(c)(3)) </w:t>
      </w:r>
    </w:p>
    <w:p>
      <w:pPr>
        <w:spacing w:before="217" w:after="0" w:line="243" w:lineRule="exact"/>
        <w:ind w:right="288" w:left="0" w:firstLine="864"/>
        <w:jc w:val="left"/>
        <w:textAlignment w:val="baseline"/>
        <w:rPr>
          <w:rFonts w:ascii="Courier New" w:hAnsi="Courier New" w:eastAsia="Courier New"/>
          <w:color w:val="000000"/>
          <w:spacing w:val="-7"/>
          <w:w w:val="95"/>
          <w:sz w:val="26"/>
          <w:vertAlign w:val="baseline"/>
          <w:lang w:val="en-US"/>
        </w:rPr>
      </w:pPr>
      <w:r>
        <w:rPr>
          <w:rFonts w:ascii="Courier New" w:hAnsi="Courier New" w:eastAsia="Courier New"/>
          <w:color w:val="000000"/>
          <w:spacing w:val="-7"/>
          <w:w w:val="95"/>
          <w:sz w:val="26"/>
          <w:vertAlign w:val="baseline"/>
          <w:lang w:val="en-US"/>
        </w:rPr>
        <w:t xml:space="preserve">Under the FED Statute, the defendant may produce evidence and offer rebutting evidence after the plaintiff has stated the issue and produced the plaintiff's evidence. MSA S 546.11. All evidence admissible under the Minnesota statutes or Rules of Evidence will be admitted, with any statute or rule favoring the reception of evidence governing. RCP Rule 43.01.</w:t>
      </w:r>
    </w:p>
    <w:p>
      <w:pPr>
        <w:spacing w:before="228" w:after="0" w:line="243" w:lineRule="exact"/>
        <w:ind w:right="288" w:left="0" w:firstLine="864"/>
        <w:jc w:val="left"/>
        <w:textAlignment w:val="baseline"/>
        <w:rPr>
          <w:rFonts w:ascii="Courier New" w:hAnsi="Courier New" w:eastAsia="Courier New"/>
          <w:color w:val="000000"/>
          <w:spacing w:val="-8"/>
          <w:w w:val="95"/>
          <w:sz w:val="26"/>
          <w:vertAlign w:val="baseline"/>
          <w:lang w:val="en-US"/>
        </w:rPr>
      </w:pPr>
      <w:r>
        <w:rPr>
          <w:rFonts w:ascii="Courier New" w:hAnsi="Courier New" w:eastAsia="Courier New"/>
          <w:color w:val="000000"/>
          <w:spacing w:val="-8"/>
          <w:w w:val="95"/>
          <w:sz w:val="26"/>
          <w:vertAlign w:val="baseline"/>
          <w:lang w:val="en-US"/>
        </w:rPr>
        <w:t xml:space="preserve">Preliminary questions concerning the qualification of a witness or the admissibility of evidence are determined by the court (which is bound by the rules of evidence with respect to privileges only). MRE S 104(a). All relevant evidence is admissible, except as otherwise provided by the United States Constitution, statute or the rules applicable to the Minnesota courts. MRE § 402. "Relevant evidence" is defined as "evidence having a tendency to make the existence of any fact that is of consequence to the determination of the action more probable or less probable than it would be without the evidence." MRE § 401.</w:t>
      </w:r>
    </w:p>
    <w:p>
      <w:pPr>
        <w:spacing w:before="274" w:after="0" w:line="221" w:lineRule="exact"/>
        <w:ind w:right="0" w:left="0" w:firstLine="0"/>
        <w:jc w:val="center"/>
        <w:textAlignment w:val="baseline"/>
        <w:rPr>
          <w:rFonts w:ascii="Times New Roman" w:hAnsi="Times New Roman" w:eastAsia="Times New Roman"/>
          <w:color w:val="000000"/>
          <w:spacing w:val="0"/>
          <w:w w:val="100"/>
          <w:sz w:val="22"/>
          <w:vertAlign w:val="baseline"/>
          <w:lang w:val="en-US"/>
        </w:rPr>
      </w:pPr>
      <w:r>
        <w:rPr>
          <w:rFonts w:ascii="Times New Roman" w:hAnsi="Times New Roman" w:eastAsia="Times New Roman"/>
          <w:color w:val="000000"/>
          <w:spacing w:val="0"/>
          <w:w w:val="100"/>
          <w:sz w:val="22"/>
          <w:vertAlign w:val="baseline"/>
          <w:lang w:val="en-US"/>
        </w:rPr>
        <w:t xml:space="preserve">5</w:t>
      </w:r>
    </w:p>
    <w:p>
      <w:pPr>
        <w:sectPr>
          <w:type w:val="nextPage"/>
          <w:pgSz w:w="12240" w:h="15840" w:orient="portrait"/>
          <w:pgMar w:bottom="864" w:top="1520" w:right="1380" w:left="1320" w:header="720" w:footer="720"/>
          <w:titlePg w:val="false"/>
          <w:textDirection w:val="lrTb"/>
        </w:sectPr>
      </w:pPr>
    </w:p>
    <w:p>
      <w:pPr>
        <w:spacing w:before="27" w:after="0" w:line="241" w:lineRule="exact"/>
        <w:ind w:right="0" w:left="0" w:firstLine="0"/>
        <w:jc w:val="right"/>
        <w:textAlignment w:val="baseline"/>
        <w:rPr>
          <w:rFonts w:ascii="Courier New" w:hAnsi="Courier New" w:eastAsia="Courier New"/>
          <w:color w:val="000000"/>
          <w:spacing w:val="-12"/>
          <w:w w:val="100"/>
          <w:sz w:val="26"/>
          <w:vertAlign w:val="baseline"/>
          <w:lang w:val="en-US"/>
        </w:rPr>
      </w:pPr>
      <w:r>
        <w:rPr>
          <w:rFonts w:ascii="Courier New" w:hAnsi="Courier New" w:eastAsia="Courier New"/>
          <w:color w:val="000000"/>
          <w:spacing w:val="-12"/>
          <w:w w:val="100"/>
          <w:sz w:val="26"/>
          <w:vertAlign w:val="baseline"/>
          <w:lang w:val="en-US"/>
        </w:rPr>
        <w:t xml:space="preserve">MINNESOTA: DUE PROCESS DETERMINATION</w:t>
      </w:r>
    </w:p>
    <w:p>
      <w:pPr>
        <w:spacing w:before="975" w:after="0" w:line="241" w:lineRule="exact"/>
        <w:ind w:right="360" w:left="72" w:firstLine="720"/>
        <w:jc w:val="left"/>
        <w:textAlignment w:val="baseline"/>
        <w:rPr>
          <w:rFonts w:ascii="Courier New" w:hAnsi="Courier New" w:eastAsia="Courier New"/>
          <w:color w:val="000000"/>
          <w:spacing w:val="-7"/>
          <w:w w:val="95"/>
          <w:sz w:val="26"/>
          <w:vertAlign w:val="baseline"/>
          <w:lang w:val="en-US"/>
        </w:rPr>
      </w:pPr>
      <w:r>
        <w:rPr>
          <w:rFonts w:ascii="Courier New" w:hAnsi="Courier New" w:eastAsia="Courier New"/>
          <w:color w:val="000000"/>
          <w:spacing w:val="-7"/>
          <w:w w:val="95"/>
          <w:sz w:val="26"/>
          <w:vertAlign w:val="baseline"/>
          <w:lang w:val="en-US"/>
        </w:rPr>
        <w:t xml:space="preserve">The court, by subpoena, may command a person to appear for the purpose of testifying in open court and producing specified documentation or other tangible items. RCP Rule 45.01-.02. Failure to comply with a subpoena without adequate excuse is contempt of court. RCP Rule 45.07.</w:t>
      </w:r>
    </w:p>
    <w:p>
      <w:pPr>
        <w:spacing w:before="242" w:after="0" w:line="241" w:lineRule="exact"/>
        <w:ind w:right="72" w:left="72" w:firstLine="720"/>
        <w:jc w:val="left"/>
        <w:textAlignment w:val="baseline"/>
        <w:rPr>
          <w:rFonts w:ascii="Courier New" w:hAnsi="Courier New" w:eastAsia="Courier New"/>
          <w:color w:val="000000"/>
          <w:spacing w:val="-8"/>
          <w:w w:val="95"/>
          <w:sz w:val="26"/>
          <w:vertAlign w:val="baseline"/>
          <w:lang w:val="en-US"/>
        </w:rPr>
      </w:pPr>
      <w:r>
        <w:rPr>
          <w:rFonts w:ascii="Courier New" w:hAnsi="Courier New" w:eastAsia="Courier New"/>
          <w:color w:val="000000"/>
          <w:spacing w:val="-8"/>
          <w:w w:val="95"/>
          <w:sz w:val="26"/>
          <w:vertAlign w:val="baseline"/>
          <w:lang w:val="en-US"/>
        </w:rPr>
        <w:t xml:space="preserve">A witness who is an adverse party, or is identified with an adverse party, may be cross-examined, contradicted, and impeached by any other party adversely affected by the testimony of the witness. RCP Rule 43.02. Cross-examination, however, is limited to the subject matter of the direct examination and matters affecting the credibility of the witness, unless the court in its discretion permits inquiry into additional matters as if on direct examination. MRE § 611(b).</w:t>
      </w:r>
    </w:p>
    <w:p>
      <w:pPr>
        <w:spacing w:before="238" w:after="0" w:line="241" w:lineRule="exact"/>
        <w:ind w:right="504" w:left="72" w:firstLine="720"/>
        <w:jc w:val="left"/>
        <w:textAlignment w:val="baseline"/>
        <w:rPr>
          <w:rFonts w:ascii="Courier New" w:hAnsi="Courier New" w:eastAsia="Courier New"/>
          <w:color w:val="000000"/>
          <w:spacing w:val="-8"/>
          <w:w w:val="95"/>
          <w:sz w:val="26"/>
          <w:vertAlign w:val="baseline"/>
          <w:lang w:val="en-US"/>
        </w:rPr>
      </w:pPr>
      <w:r>
        <w:rPr>
          <w:rFonts w:ascii="Courier New" w:hAnsi="Courier New" w:eastAsia="Courier New"/>
          <w:color w:val="000000"/>
          <w:spacing w:val="-8"/>
          <w:w w:val="95"/>
          <w:sz w:val="26"/>
          <w:vertAlign w:val="baseline"/>
          <w:lang w:val="en-US"/>
        </w:rPr>
        <w:t xml:space="preserve">Based on the foregoing, and the basic right under the due process clause of the Minnesota Constitution (Article I,</w:t>
      </w:r>
    </w:p>
    <w:p>
      <w:pPr>
        <w:spacing w:before="0" w:after="0" w:line="241" w:lineRule="exact"/>
        <w:ind w:right="72" w:left="72" w:firstLine="0"/>
        <w:jc w:val="left"/>
        <w:textAlignment w:val="baseline"/>
        <w:rPr>
          <w:rFonts w:ascii="Courier New" w:hAnsi="Courier New" w:eastAsia="Courier New"/>
          <w:color w:val="000000"/>
          <w:spacing w:val="-13"/>
          <w:w w:val="100"/>
          <w:sz w:val="26"/>
          <w:vertAlign w:val="baseline"/>
          <w:lang w:val="en-US"/>
        </w:rPr>
      </w:pPr>
      <w:r>
        <w:rPr>
          <w:rFonts w:ascii="Courier New" w:hAnsi="Courier New" w:eastAsia="Courier New"/>
          <w:color w:val="000000"/>
          <w:spacing w:val="-13"/>
          <w:w w:val="100"/>
          <w:sz w:val="26"/>
          <w:vertAlign w:val="baseline"/>
          <w:lang w:val="en-US"/>
        </w:rPr>
        <w:t xml:space="preserve">Section 7) to confront and cross-examine witnesses and refute the evidence presented against a party, a tenant in a FED Action has the opportunity to refute the evidence presented by the PHA, including the right to confront and cross-examine witnesses.</w:t>
      </w:r>
    </w:p>
    <w:p>
      <w:pPr>
        <w:tabs>
          <w:tab w:val="left" w:leader="none" w:pos="1512"/>
        </w:tabs>
        <w:spacing w:before="239" w:after="0" w:line="222" w:lineRule="exact"/>
        <w:ind w:right="0" w:left="792" w:firstLine="0"/>
        <w:jc w:val="left"/>
        <w:textAlignment w:val="baseline"/>
        <w:rPr>
          <w:rFonts w:ascii="Courier New" w:hAnsi="Courier New" w:eastAsia="Courier New"/>
          <w:color w:val="000000"/>
          <w:spacing w:val="-7"/>
          <w:w w:val="95"/>
          <w:sz w:val="26"/>
          <w:vertAlign w:val="baseline"/>
          <w:lang w:val="en-US"/>
        </w:rPr>
      </w:pPr>
      <w:r>
        <w:rPr>
          <w:rFonts w:ascii="Courier New" w:hAnsi="Courier New" w:eastAsia="Courier New"/>
          <w:color w:val="000000"/>
          <w:spacing w:val="-7"/>
          <w:w w:val="95"/>
          <w:sz w:val="26"/>
          <w:vertAlign w:val="baseline"/>
          <w:lang w:val="en-US"/>
        </w:rPr>
        <w:t xml:space="preserve">D.	</w:t>
      </w:r>
      <w:r>
        <w:rPr>
          <w:rFonts w:ascii="Courier New" w:hAnsi="Courier New" w:eastAsia="Courier New"/>
          <w:color w:val="000000"/>
          <w:spacing w:val="-7"/>
          <w:w w:val="95"/>
          <w:sz w:val="26"/>
          <w:u w:val="single"/>
          <w:vertAlign w:val="baseline"/>
          <w:lang w:val="en-US"/>
        </w:rPr>
        <w:t xml:space="preserve">Opportunity to present any affirmative legal or </w:t>
      </w:r>
    </w:p>
    <w:p>
      <w:pPr>
        <w:spacing w:before="0" w:after="0" w:line="250" w:lineRule="exact"/>
        <w:ind w:right="0" w:left="0" w:firstLine="0"/>
        <w:jc w:val="center"/>
        <w:textAlignment w:val="baseline"/>
        <w:rPr>
          <w:rFonts w:ascii="Courier New" w:hAnsi="Courier New" w:eastAsia="Courier New"/>
          <w:color w:val="000000"/>
          <w:spacing w:val="-8"/>
          <w:w w:val="95"/>
          <w:sz w:val="26"/>
          <w:u w:val="single"/>
          <w:vertAlign w:val="baseline"/>
          <w:lang w:val="en-US"/>
        </w:rPr>
      </w:pPr>
      <w:r>
        <w:rPr>
          <w:rFonts w:ascii="Courier New" w:hAnsi="Courier New" w:eastAsia="Courier New"/>
          <w:color w:val="000000"/>
          <w:spacing w:val="-8"/>
          <w:w w:val="95"/>
          <w:sz w:val="26"/>
          <w:u w:val="single"/>
          <w:vertAlign w:val="baseline"/>
          <w:lang w:val="en-US"/>
        </w:rPr>
        <w:t xml:space="preserve">equitable defense which the tenant may have </w:t>
      </w:r>
    </w:p>
    <w:p>
      <w:pPr>
        <w:spacing w:before="8" w:after="0" w:line="237" w:lineRule="exact"/>
        <w:ind w:right="0" w:left="1512" w:firstLine="0"/>
        <w:jc w:val="left"/>
        <w:textAlignment w:val="baseline"/>
        <w:rPr>
          <w:rFonts w:ascii="Courier New" w:hAnsi="Courier New" w:eastAsia="Courier New"/>
          <w:color w:val="000000"/>
          <w:spacing w:val="-11"/>
          <w:w w:val="95"/>
          <w:sz w:val="26"/>
          <w:u w:val="single"/>
          <w:vertAlign w:val="baseline"/>
          <w:lang w:val="en-US"/>
        </w:rPr>
      </w:pPr>
      <w:r>
        <w:rPr>
          <w:rFonts w:ascii="Courier New" w:hAnsi="Courier New" w:eastAsia="Courier New"/>
          <w:color w:val="000000"/>
          <w:spacing w:val="-11"/>
          <w:w w:val="95"/>
          <w:sz w:val="26"/>
          <w:u w:val="single"/>
          <w:vertAlign w:val="baseline"/>
          <w:lang w:val="en-US"/>
        </w:rPr>
        <w:t xml:space="preserve">(24 C.F.R. S 966.53(c)(3)) </w:t>
      </w:r>
    </w:p>
    <w:p>
      <w:pPr>
        <w:spacing w:before="212" w:after="0" w:line="241" w:lineRule="exact"/>
        <w:ind w:right="144" w:left="72" w:firstLine="720"/>
        <w:jc w:val="left"/>
        <w:textAlignment w:val="baseline"/>
        <w:rPr>
          <w:rFonts w:ascii="Courier New" w:hAnsi="Courier New" w:eastAsia="Courier New"/>
          <w:color w:val="000000"/>
          <w:spacing w:val="-13"/>
          <w:w w:val="100"/>
          <w:sz w:val="26"/>
          <w:vertAlign w:val="baseline"/>
          <w:lang w:val="en-US"/>
        </w:rPr>
      </w:pPr>
      <w:r>
        <w:rPr>
          <w:rFonts w:ascii="Courier New" w:hAnsi="Courier New" w:eastAsia="Courier New"/>
          <w:color w:val="000000"/>
          <w:spacing w:val="-13"/>
          <w:w w:val="100"/>
          <w:sz w:val="26"/>
          <w:vertAlign w:val="baseline"/>
          <w:lang w:val="en-US"/>
        </w:rPr>
        <w:t xml:space="preserve">The FED Statute provides that at the time and place appointed in the summons "the defendant, on appearing, may answer the complaint, and all matters in excuse, justification, or avoidance of the allegations thereof shall be set up in the answer . . ." MSA S 566.07. Among the defenses available are specific defenses set forth in the FED Statute, affirmative defenses specified in the Rules of Civil Procedure, and those confirmed by case law, including the following:</w:t>
      </w:r>
    </w:p>
    <w:p>
      <w:pPr>
        <w:spacing w:before="246" w:after="0" w:line="241" w:lineRule="exact"/>
        <w:ind w:right="144" w:left="0" w:firstLine="72"/>
        <w:jc w:val="left"/>
        <w:textAlignment w:val="baseline"/>
        <w:rPr>
          <w:rFonts w:ascii="Courier New" w:hAnsi="Courier New" w:eastAsia="Courier New"/>
          <w:color w:val="000000"/>
          <w:spacing w:val="0"/>
          <w:w w:val="95"/>
          <w:sz w:val="26"/>
          <w:vertAlign w:val="baseline"/>
          <w:lang w:val="en-US"/>
        </w:rPr>
      </w:pPr>
      <w:r>
        <w:pict>
          <v:shapetype id="_x0000_t8" coordsize="21600,21600" o:spt="202" path="m,l,21600r21600,l21600,xe">
            <v:stroke joinstyle="miter"/>
            <v:path gradientshapeok="t" o:connecttype="rect"/>
          </v:shapetype>
          <v:shape id="_x0000_s7" type="#_x0000_t8" filled="f" stroked="f" style="position:absolute;width:37.75pt;height:146.8pt;z-index:-1;margin-left:65.95pt;margin-top:572.4pt;mso-wrap-distance-left:0pt;mso-wrap-distance-right:0pt;mso-position-horizontal-relative:page;mso-position-vertical-relative:page">
            <w10:wrap type="square" side="both"/>
            <v:fill opacity="1" o:opacity2="1" recolor="f" rotate="f" type="solid"/>
            <v:textbox inset="0pt, 0pt, 0pt, 0pt">
              <w:txbxContent>
                <w:p>
                  <w:pPr>
                    <w:spacing w:before="974" w:after="762" w:line="240" w:lineRule="auto"/>
                    <w:ind w:right="322" w:left="73"/>
                    <w:jc w:val="left"/>
                    <w:textAlignment w:val="baseline"/>
                  </w:pPr>
                  <w:r>
                    <w:drawing>
                      <wp:inline>
                        <wp:extent cx="228600" cy="762000"/>
                        <wp:docPr name="Picture" id="3"/>
                        <a:graphic>
                          <a:graphicData uri="http://schemas.openxmlformats.org/drawingml/2006/picture">
                            <pic:pic>
                              <pic:nvPicPr>
                                <pic:cNvPr id="3" name="Picture"/>
                                <pic:cNvPicPr preferRelativeResize="false"/>
                              </pic:nvPicPr>
                              <pic:blipFill>
                                <a:blip r:embed="prId3"/>
                                <a:stretch>
                                  <a:fillRect/>
                                </a:stretch>
                              </pic:blipFill>
                              <pic:spPr>
                                <a:xfrm>
                                  <a:off x="0" y="0"/>
                                  <a:ext cx="228600" cy="762000"/>
                                </a:xfrm>
                                <a:prstGeom prst="rect"/>
                              </pic:spPr>
                            </pic:pic>
                          </a:graphicData>
                        </a:graphic>
                      </wp:inline>
                    </w:drawing>
                  </w:r>
                </w:p>
              </w:txbxContent>
            </v:textbox>
          </v:shape>
        </w:pict>
      </w:r>
      <w:r>
        <w:rPr>
          <w:rFonts w:ascii="Courier New" w:hAnsi="Courier New" w:eastAsia="Courier New"/>
          <w:color w:val="000000"/>
          <w:spacing w:val="0"/>
          <w:w w:val="95"/>
          <w:sz w:val="26"/>
          <w:vertAlign w:val="baseline"/>
          <w:lang w:val="en-US"/>
        </w:rPr>
        <w:t xml:space="preserve">(1) that a notice to quit was intended as a penalty for the defendant's good faith attempt to secure or enforce its rights under the lease, any other agreement or under the law (MSA S 566.03 Subd.2(1));</w:t>
      </w:r>
    </w:p>
    <w:p>
      <w:pPr>
        <w:spacing w:before="271" w:after="0" w:line="241" w:lineRule="exact"/>
        <w:ind w:right="864" w:left="0" w:firstLine="0"/>
        <w:jc w:val="left"/>
        <w:textAlignment w:val="baseline"/>
        <w:rPr>
          <w:rFonts w:ascii="Courier New" w:hAnsi="Courier New" w:eastAsia="Courier New"/>
          <w:color w:val="000000"/>
          <w:spacing w:val="-9"/>
          <w:w w:val="95"/>
          <w:sz w:val="26"/>
          <w:vertAlign w:val="baseline"/>
          <w:lang w:val="en-US"/>
        </w:rPr>
      </w:pPr>
      <w:r>
        <w:rPr>
          <w:rFonts w:ascii="Courier New" w:hAnsi="Courier New" w:eastAsia="Courier New"/>
          <w:color w:val="000000"/>
          <w:spacing w:val="-9"/>
          <w:w w:val="95"/>
          <w:sz w:val="26"/>
          <w:vertAlign w:val="baseline"/>
          <w:lang w:val="en-US"/>
        </w:rPr>
        <w:t xml:space="preserve">that a notice to quit was intended as a penalty for the defendant's good faith reporting of a health, safety or housing code violation (MSA § 566.03 Subd.2(2));</w:t>
      </w:r>
    </w:p>
    <w:p>
      <w:pPr>
        <w:spacing w:before="237" w:after="249" w:line="241" w:lineRule="exact"/>
        <w:ind w:right="1080" w:left="0" w:firstLine="0"/>
        <w:jc w:val="left"/>
        <w:textAlignment w:val="baseline"/>
        <w:rPr>
          <w:rFonts w:ascii="Courier New" w:hAnsi="Courier New" w:eastAsia="Courier New"/>
          <w:color w:val="000000"/>
          <w:spacing w:val="-9"/>
          <w:w w:val="95"/>
          <w:sz w:val="26"/>
          <w:vertAlign w:val="baseline"/>
          <w:lang w:val="en-US"/>
        </w:rPr>
      </w:pPr>
      <w:r>
        <w:rPr>
          <w:rFonts w:ascii="Courier New" w:hAnsi="Courier New" w:eastAsia="Courier New"/>
          <w:color w:val="000000"/>
          <w:spacing w:val="-9"/>
          <w:w w:val="95"/>
          <w:sz w:val="26"/>
          <w:vertAlign w:val="baseline"/>
          <w:lang w:val="en-US"/>
        </w:rPr>
        <w:t xml:space="preserve">duress, fraud, illegality, statute of frauds, release, waiver and any other matter constituting an avoidance or affirmative defense (RCP Rule 8.03);</w:t>
      </w:r>
    </w:p>
    <w:p>
      <w:pPr>
        <w:spacing w:before="2" w:after="0" w:line="221" w:lineRule="exact"/>
        <w:ind w:right="0" w:left="0" w:firstLine="0"/>
        <w:jc w:val="center"/>
        <w:textAlignment w:val="baseline"/>
        <w:rPr>
          <w:rFonts w:ascii="Bookman Old Style" w:hAnsi="Bookman Old Style" w:eastAsia="Bookman Old Style"/>
          <w:color w:val="000000"/>
          <w:spacing w:val="0"/>
          <w:w w:val="100"/>
          <w:sz w:val="19"/>
          <w:vertAlign w:val="baseline"/>
          <w:lang w:val="en-US"/>
        </w:rPr>
      </w:pPr>
      <w:r>
        <w:rPr>
          <w:rFonts w:ascii="Bookman Old Style" w:hAnsi="Bookman Old Style" w:eastAsia="Bookman Old Style"/>
          <w:color w:val="000000"/>
          <w:spacing w:val="0"/>
          <w:w w:val="100"/>
          <w:sz w:val="19"/>
          <w:vertAlign w:val="baseline"/>
          <w:lang w:val="en-US"/>
        </w:rPr>
        <w:t xml:space="preserve">6</w:t>
      </w:r>
    </w:p>
    <w:p>
      <w:pPr>
        <w:sectPr>
          <w:type w:val="nextPage"/>
          <w:pgSz w:w="12240" w:h="15840" w:orient="portrait"/>
          <w:pgMar w:bottom="824" w:top="1560" w:right="1381" w:left="1319" w:header="720" w:footer="720"/>
          <w:titlePg w:val="false"/>
          <w:textDirection w:val="lrTb"/>
        </w:sectPr>
      </w:pPr>
    </w:p>
    <w:p>
      <w:pPr>
        <w:spacing w:before="19" w:after="0" w:line="247" w:lineRule="exact"/>
        <w:ind w:right="0" w:left="0" w:firstLine="0"/>
        <w:jc w:val="right"/>
        <w:textAlignment w:val="baseline"/>
        <w:rPr>
          <w:rFonts w:ascii="Courier New" w:hAnsi="Courier New" w:eastAsia="Courier New"/>
          <w:color w:val="000000"/>
          <w:spacing w:val="-12"/>
          <w:w w:val="100"/>
          <w:sz w:val="26"/>
          <w:vertAlign w:val="baseline"/>
          <w:lang w:val="en-US"/>
        </w:rPr>
      </w:pPr>
      <w:r>
        <w:rPr>
          <w:rFonts w:ascii="Courier New" w:hAnsi="Courier New" w:eastAsia="Courier New"/>
          <w:color w:val="000000"/>
          <w:spacing w:val="-12"/>
          <w:w w:val="100"/>
          <w:sz w:val="26"/>
          <w:vertAlign w:val="baseline"/>
          <w:lang w:val="en-US"/>
        </w:rPr>
        <w:t xml:space="preserve">MINNESOTA: DUE PROCESS DETERMINATION</w:t>
      </w:r>
    </w:p>
    <w:p>
      <w:pPr>
        <w:numPr>
          <w:ilvl w:val="0"/>
          <w:numId w:val="7"/>
        </w:numPr>
        <w:tabs>
          <w:tab w:val="clear" w:pos="720"/>
          <w:tab w:val="left" w:pos="792"/>
        </w:tabs>
        <w:spacing w:before="977" w:after="0" w:line="240" w:lineRule="exact"/>
        <w:ind w:right="1368" w:left="0" w:firstLine="72"/>
        <w:jc w:val="left"/>
        <w:textAlignment w:val="baseline"/>
        <w:rPr>
          <w:rFonts w:ascii="Courier New" w:hAnsi="Courier New" w:eastAsia="Courier New"/>
          <w:color w:val="000000"/>
          <w:spacing w:val="-8"/>
          <w:w w:val="95"/>
          <w:sz w:val="26"/>
          <w:vertAlign w:val="baseline"/>
          <w:lang w:val="en-US"/>
        </w:rPr>
      </w:pPr>
      <w:r>
        <w:rPr>
          <w:rFonts w:ascii="Courier New" w:hAnsi="Courier New" w:eastAsia="Courier New"/>
          <w:color w:val="000000"/>
          <w:spacing w:val="-8"/>
          <w:w w:val="95"/>
          <w:sz w:val="26"/>
          <w:vertAlign w:val="baseline"/>
          <w:lang w:val="en-US"/>
        </w:rPr>
        <w:t xml:space="preserve">the plaintiff breached the covenant of habitability which was incorporated by statute into every</w:t>
      </w:r>
    </w:p>
    <w:p>
      <w:pPr>
        <w:spacing w:before="0" w:after="0" w:line="253" w:lineRule="exact"/>
        <w:ind w:right="792" w:left="0" w:firstLine="0"/>
        <w:jc w:val="both"/>
        <w:textAlignment w:val="baseline"/>
        <w:rPr>
          <w:rFonts w:ascii="Courier New" w:hAnsi="Courier New" w:eastAsia="Courier New"/>
          <w:color w:val="000000"/>
          <w:spacing w:val="0"/>
          <w:w w:val="100"/>
          <w:sz w:val="26"/>
          <w:vertAlign w:val="baseline"/>
          <w:lang w:val="en-US"/>
        </w:rPr>
      </w:pPr>
      <w:r>
        <w:pict>
          <v:shapetype id="_x0000_t9" coordsize="21600,21600" o:spt="202" path="m,l,21600r21600,l21600,xe">
            <v:stroke joinstyle="miter"/>
            <v:path gradientshapeok="t" o:connecttype="rect"/>
          </v:shapetype>
          <v:shape id="_x0000_s8" type="#_x0000_t9" filled="f" stroked="f" style="position:absolute;width:42.3pt;height:119.75pt;z-index:-1;margin-left:60.9pt;margin-top:148.8pt;mso-wrap-distance-left:0pt;mso-wrap-distance-right:0pt;mso-position-horizontal-relative:page;mso-position-vertical-relative:page">
            <w10:wrap type="square" side="both"/>
            <v:fill opacity="1" o:opacity2="1" recolor="f" rotate="f" type="solid"/>
            <v:textbox inset="0pt, 0pt, 0pt, 0pt">
              <w:txbxContent>
                <w:p>
                  <w:pPr>
                    <w:numPr>
                      <w:ilvl w:val="0"/>
                      <w:numId w:val="8"/>
                    </w:numPr>
                    <w:tabs>
                      <w:tab w:val="clear" w:pos="432"/>
                      <w:tab w:val="left" w:pos="504"/>
                    </w:tabs>
                    <w:spacing w:before="1018" w:after="1115" w:line="247" w:lineRule="exact"/>
                    <w:ind w:right="0" w:left="0" w:firstLine="72"/>
                    <w:jc w:val="left"/>
                    <w:textAlignment w:val="baseline"/>
                    <w:rPr>
                      <w:rFonts w:ascii="Courier New" w:hAnsi="Courier New" w:eastAsia="Courier New"/>
                      <w:color w:val="000000"/>
                      <w:spacing w:val="0"/>
                      <w:w w:val="100"/>
                      <w:sz w:val="26"/>
                      <w:vertAlign w:val="baseline"/>
                      <w:lang w:val="en-US"/>
                    </w:rPr>
                  </w:pPr>
                  <w:r>
                    <w:rPr>
                      <w:rFonts w:ascii="Courier New" w:hAnsi="Courier New" w:eastAsia="Courier New"/>
                      <w:color w:val="000000"/>
                      <w:spacing w:val="0"/>
                      <w:w w:val="100"/>
                      <w:sz w:val="26"/>
                      <w:vertAlign w:val="baseline"/>
                      <w:lang w:val="en-US"/>
                    </w:rPr>
                    <w:t xml:space="preserve">
</w:t>
                  </w:r>
                </w:p>
              </w:txbxContent>
            </v:textbox>
          </v:shape>
        </w:pict>
      </w:r>
      <w:r>
        <w:rPr>
          <w:rFonts w:ascii="Courier New" w:hAnsi="Courier New" w:eastAsia="Courier New"/>
          <w:color w:val="000000"/>
          <w:spacing w:val="0"/>
          <w:w w:val="100"/>
          <w:sz w:val="26"/>
          <w:vertAlign w:val="baseline"/>
          <w:lang w:val="en-US"/>
        </w:rPr>
        <w:t xml:space="preserve">residential lease </w:t>
      </w:r>
      <w:r>
        <w:rPr>
          <w:rFonts w:ascii="Courier New" w:hAnsi="Courier New" w:eastAsia="Courier New"/>
          <w:color w:val="000000"/>
          <w:spacing w:val="0"/>
          <w:w w:val="100"/>
          <w:sz w:val="26"/>
          <w:u w:val="single"/>
          <w:vertAlign w:val="baseline"/>
          <w:lang w:val="en-US"/>
        </w:rPr>
        <w:t xml:space="preserve">(Fritz v. Warthen,</w:t>
      </w:r>
      <w:r>
        <w:rPr>
          <w:rFonts w:ascii="Courier New" w:hAnsi="Courier New" w:eastAsia="Courier New"/>
          <w:color w:val="000000"/>
          <w:spacing w:val="0"/>
          <w:w w:val="100"/>
          <w:sz w:val="26"/>
          <w:vertAlign w:val="baseline"/>
          <w:lang w:val="en-US"/>
        </w:rPr>
        <w:t xml:space="preserve"> 298, Minn. 54, 213 N.W.2d 339 (1973)); and</w:t>
      </w:r>
    </w:p>
    <w:p>
      <w:pPr>
        <w:spacing w:before="256" w:after="0" w:line="234" w:lineRule="exact"/>
        <w:ind w:right="792" w:left="72" w:hanging="72"/>
        <w:jc w:val="both"/>
        <w:textAlignment w:val="baseline"/>
        <w:rPr>
          <w:rFonts w:ascii="Courier New" w:hAnsi="Courier New" w:eastAsia="Courier New"/>
          <w:color w:val="000000"/>
          <w:spacing w:val="-10"/>
          <w:w w:val="95"/>
          <w:sz w:val="26"/>
          <w:vertAlign w:val="baseline"/>
          <w:lang w:val="en-US"/>
        </w:rPr>
      </w:pPr>
      <w:r>
        <w:rPr>
          <w:rFonts w:ascii="Courier New" w:hAnsi="Courier New" w:eastAsia="Courier New"/>
          <w:color w:val="000000"/>
          <w:spacing w:val="-10"/>
          <w:w w:val="95"/>
          <w:sz w:val="26"/>
          <w:vertAlign w:val="baseline"/>
          <w:lang w:val="en-US"/>
        </w:rPr>
        <w:t xml:space="preserve">the plaintiff waived its right to terminate the tenancy </w:t>
      </w:r>
      <w:r>
        <w:rPr>
          <w:rFonts w:ascii="Courier New" w:hAnsi="Courier New" w:eastAsia="Courier New"/>
          <w:color w:val="000000"/>
          <w:spacing w:val="-10"/>
          <w:w w:val="95"/>
          <w:sz w:val="26"/>
          <w:u w:val="single"/>
          <w:vertAlign w:val="baseline"/>
          <w:lang w:val="en-US"/>
        </w:rPr>
        <w:t xml:space="preserve">(Arcade Inv. Co. v. Gieriet,</w:t>
      </w:r>
      <w:r>
        <w:rPr>
          <w:rFonts w:ascii="Courier New" w:hAnsi="Courier New" w:eastAsia="Courier New"/>
          <w:color w:val="000000"/>
          <w:spacing w:val="-10"/>
          <w:w w:val="95"/>
          <w:sz w:val="26"/>
          <w:vertAlign w:val="baseline"/>
          <w:lang w:val="en-US"/>
        </w:rPr>
        <w:t xml:space="preserve"> 99 Minn. 277, 109 N.W. 250 (1906); </w:t>
      </w:r>
      <w:r>
        <w:rPr>
          <w:rFonts w:ascii="Courier New" w:hAnsi="Courier New" w:eastAsia="Courier New"/>
          <w:color w:val="000000"/>
          <w:spacing w:val="-10"/>
          <w:w w:val="95"/>
          <w:sz w:val="26"/>
          <w:u w:val="single"/>
          <w:vertAlign w:val="baseline"/>
          <w:lang w:val="en-US"/>
        </w:rPr>
        <w:t xml:space="preserve">Priordale Mall Investors v. Farrington,</w:t>
      </w:r>
      <w:r>
        <w:rPr>
          <w:rFonts w:ascii="Courier New" w:hAnsi="Courier New" w:eastAsia="Courier New"/>
          <w:color w:val="000000"/>
          <w:spacing w:val="-10"/>
          <w:w w:val="95"/>
          <w:sz w:val="26"/>
          <w:vertAlign w:val="baseline"/>
          <w:lang w:val="en-US"/>
        </w:rPr>
        <w:t xml:space="preserve"> 411</w:t>
      </w:r>
    </w:p>
    <w:p>
      <w:pPr>
        <w:spacing w:before="0" w:after="0" w:line="242" w:lineRule="exact"/>
        <w:ind w:right="0" w:left="0" w:firstLine="0"/>
        <w:jc w:val="both"/>
        <w:textAlignment w:val="baseline"/>
        <w:rPr>
          <w:rFonts w:ascii="Courier New" w:hAnsi="Courier New" w:eastAsia="Courier New"/>
          <w:color w:val="000000"/>
          <w:spacing w:val="-6"/>
          <w:w w:val="95"/>
          <w:sz w:val="26"/>
          <w:vertAlign w:val="baseline"/>
          <w:lang w:val="en-US"/>
        </w:rPr>
      </w:pPr>
      <w:r>
        <w:rPr>
          <w:rFonts w:ascii="Courier New" w:hAnsi="Courier New" w:eastAsia="Courier New"/>
          <w:color w:val="000000"/>
          <w:spacing w:val="-6"/>
          <w:w w:val="95"/>
          <w:sz w:val="26"/>
          <w:vertAlign w:val="baseline"/>
          <w:lang w:val="en-US"/>
        </w:rPr>
        <w:t xml:space="preserve">N.W.2d 582 (Minn. App. 1987)).</w:t>
      </w:r>
    </w:p>
    <w:p>
      <w:pPr>
        <w:spacing w:before="233" w:after="0" w:line="238" w:lineRule="exact"/>
        <w:ind w:right="216" w:left="72" w:hanging="72"/>
        <w:jc w:val="left"/>
        <w:textAlignment w:val="baseline"/>
        <w:rPr>
          <w:rFonts w:ascii="Courier New" w:hAnsi="Courier New" w:eastAsia="Courier New"/>
          <w:color w:val="000000"/>
          <w:spacing w:val="-13"/>
          <w:w w:val="100"/>
          <w:sz w:val="26"/>
          <w:vertAlign w:val="baseline"/>
          <w:lang w:val="en-US"/>
        </w:rPr>
      </w:pPr>
      <w:r>
        <w:rPr>
          <w:rFonts w:ascii="Courier New" w:hAnsi="Courier New" w:eastAsia="Courier New"/>
          <w:color w:val="000000"/>
          <w:spacing w:val="-13"/>
          <w:w w:val="100"/>
          <w:sz w:val="26"/>
          <w:vertAlign w:val="baseline"/>
          <w:lang w:val="en-US"/>
        </w:rPr>
        <w:t xml:space="preserve">The FED Statute permits the tenant to raise all defenses, whether legal or equitable to the landlord's claim for possession. The purpose of a FED Action is to provide a summary proceeding to determine quickly the right to present possession of property. </w:t>
      </w:r>
      <w:r>
        <w:rPr>
          <w:rFonts w:ascii="Courier New" w:hAnsi="Courier New" w:eastAsia="Courier New"/>
          <w:color w:val="000000"/>
          <w:spacing w:val="-13"/>
          <w:w w:val="100"/>
          <w:sz w:val="26"/>
          <w:u w:val="single"/>
          <w:vertAlign w:val="baseline"/>
          <w:lang w:val="en-US"/>
        </w:rPr>
        <w:t xml:space="preserve">White Earth Housing Authority v. Schwabe,</w:t>
      </w:r>
      <w:r>
        <w:rPr>
          <w:rFonts w:ascii="Courier New" w:hAnsi="Courier New" w:eastAsia="Courier New"/>
          <w:color w:val="000000"/>
          <w:spacing w:val="-13"/>
          <w:w w:val="100"/>
          <w:sz w:val="26"/>
          <w:vertAlign w:val="baseline"/>
          <w:lang w:val="en-US"/>
        </w:rPr>
        <w:t xml:space="preserve"> 375 N.W.2d 568 (Minn.App. 1985). Defenses that relate to the tenant's possession of the premises will be permitted.</w:t>
      </w:r>
    </w:p>
    <w:p>
      <w:pPr>
        <w:spacing w:before="0" w:after="0" w:line="249" w:lineRule="exact"/>
        <w:ind w:right="576" w:left="72" w:firstLine="0"/>
        <w:jc w:val="left"/>
        <w:textAlignment w:val="baseline"/>
        <w:rPr>
          <w:rFonts w:ascii="Courier New" w:hAnsi="Courier New" w:eastAsia="Courier New"/>
          <w:color w:val="000000"/>
          <w:spacing w:val="0"/>
          <w:w w:val="95"/>
          <w:sz w:val="26"/>
          <w:u w:val="single"/>
          <w:vertAlign w:val="baseline"/>
          <w:lang w:val="en-US"/>
        </w:rPr>
      </w:pPr>
      <w:r>
        <w:rPr>
          <w:rFonts w:ascii="Courier New" w:hAnsi="Courier New" w:eastAsia="Courier New"/>
          <w:color w:val="000000"/>
          <w:spacing w:val="0"/>
          <w:w w:val="95"/>
          <w:sz w:val="26"/>
          <w:u w:val="single"/>
          <w:vertAlign w:val="baseline"/>
          <w:lang w:val="en-US"/>
        </w:rPr>
        <w:t xml:space="preserve">University Community Properties, Inc. v. Norton,</w:t>
      </w:r>
      <w:r>
        <w:rPr>
          <w:rFonts w:ascii="Courier New" w:hAnsi="Courier New" w:eastAsia="Courier New"/>
          <w:color w:val="000000"/>
          <w:spacing w:val="0"/>
          <w:w w:val="95"/>
          <w:sz w:val="26"/>
          <w:vertAlign w:val="baseline"/>
          <w:lang w:val="en-US"/>
        </w:rPr>
        <w:t xml:space="preserve"> 311 Minn. 18, 246 N.W.2d 858 (1976).</w:t>
      </w:r>
    </w:p>
    <w:p>
      <w:pPr>
        <w:spacing w:before="217" w:after="0" w:line="247" w:lineRule="exact"/>
        <w:ind w:right="72" w:left="72" w:firstLine="720"/>
        <w:jc w:val="both"/>
        <w:textAlignment w:val="baseline"/>
        <w:rPr>
          <w:rFonts w:ascii="Courier New" w:hAnsi="Courier New" w:eastAsia="Courier New"/>
          <w:color w:val="000000"/>
          <w:spacing w:val="-7"/>
          <w:w w:val="95"/>
          <w:sz w:val="26"/>
          <w:vertAlign w:val="baseline"/>
          <w:lang w:val="en-US"/>
        </w:rPr>
      </w:pPr>
      <w:r>
        <w:rPr>
          <w:rFonts w:ascii="Courier New" w:hAnsi="Courier New" w:eastAsia="Courier New"/>
          <w:color w:val="000000"/>
          <w:spacing w:val="-7"/>
          <w:w w:val="95"/>
          <w:sz w:val="26"/>
          <w:vertAlign w:val="baseline"/>
          <w:lang w:val="en-US"/>
        </w:rPr>
        <w:t xml:space="preserve">Based upon the statutes, case law and the due process clause of the Minnesota Constitution, a tenant must have the opportunity to present affirmative defenses which are germane to the issue of possession under the FED Statute.</w:t>
      </w:r>
    </w:p>
    <w:p>
      <w:pPr>
        <w:tabs>
          <w:tab w:val="left" w:leader="none" w:pos="1512"/>
        </w:tabs>
        <w:spacing w:before="209" w:after="0" w:line="247" w:lineRule="exact"/>
        <w:ind w:right="0" w:left="792" w:firstLine="0"/>
        <w:jc w:val="left"/>
        <w:textAlignment w:val="baseline"/>
        <w:rPr>
          <w:rFonts w:ascii="Courier New" w:hAnsi="Courier New" w:eastAsia="Courier New"/>
          <w:color w:val="000000"/>
          <w:spacing w:val="-7"/>
          <w:w w:val="95"/>
          <w:sz w:val="26"/>
          <w:vertAlign w:val="baseline"/>
          <w:lang w:val="en-US"/>
        </w:rPr>
      </w:pPr>
      <w:r>
        <w:rPr>
          <w:rFonts w:ascii="Courier New" w:hAnsi="Courier New" w:eastAsia="Courier New"/>
          <w:color w:val="000000"/>
          <w:spacing w:val="-7"/>
          <w:w w:val="95"/>
          <w:sz w:val="26"/>
          <w:vertAlign w:val="baseline"/>
          <w:lang w:val="en-US"/>
        </w:rPr>
        <w:t xml:space="preserve">E.	</w:t>
      </w:r>
      <w:r>
        <w:rPr>
          <w:rFonts w:ascii="Courier New" w:hAnsi="Courier New" w:eastAsia="Courier New"/>
          <w:color w:val="000000"/>
          <w:spacing w:val="-7"/>
          <w:w w:val="95"/>
          <w:sz w:val="26"/>
          <w:u w:val="single"/>
          <w:vertAlign w:val="baseline"/>
          <w:lang w:val="en-US"/>
        </w:rPr>
        <w:t xml:space="preserve">A decision on the merits (24 C.F.R. S 966.53(c)(4)) </w:t>
      </w:r>
    </w:p>
    <w:p>
      <w:pPr>
        <w:spacing w:before="257" w:after="0" w:line="238" w:lineRule="exact"/>
        <w:ind w:right="216" w:left="72" w:firstLine="720"/>
        <w:jc w:val="left"/>
        <w:textAlignment w:val="baseline"/>
        <w:rPr>
          <w:rFonts w:ascii="Courier New" w:hAnsi="Courier New" w:eastAsia="Courier New"/>
          <w:color w:val="000000"/>
          <w:spacing w:val="-12"/>
          <w:w w:val="100"/>
          <w:sz w:val="26"/>
          <w:vertAlign w:val="baseline"/>
          <w:lang w:val="en-US"/>
        </w:rPr>
      </w:pPr>
      <w:r>
        <w:rPr>
          <w:rFonts w:ascii="Courier New" w:hAnsi="Courier New" w:eastAsia="Courier New"/>
          <w:color w:val="000000"/>
          <w:spacing w:val="-12"/>
          <w:w w:val="100"/>
          <w:sz w:val="26"/>
          <w:vertAlign w:val="baseline"/>
          <w:lang w:val="en-US"/>
        </w:rPr>
        <w:t xml:space="preserve">Any verdict of the jury, or finding of the court, in favor of the plaintiff under the FED Statute must state that the facts alleged in the complaint are true and that the plaintiff is entitled to restitution of the. premises. (If the verdict or finding is for the defendant, it is sufficient to find that the alleged facts are not true. MSA S 566.15.)</w:t>
      </w:r>
    </w:p>
    <w:p>
      <w:pPr>
        <w:spacing w:before="223" w:after="0" w:line="242" w:lineRule="exact"/>
        <w:ind w:right="72" w:left="72" w:firstLine="720"/>
        <w:jc w:val="left"/>
        <w:textAlignment w:val="baseline"/>
        <w:rPr>
          <w:rFonts w:ascii="Courier New" w:hAnsi="Courier New" w:eastAsia="Courier New"/>
          <w:color w:val="000000"/>
          <w:spacing w:val="-7"/>
          <w:w w:val="95"/>
          <w:sz w:val="26"/>
          <w:vertAlign w:val="baseline"/>
          <w:lang w:val="en-US"/>
        </w:rPr>
      </w:pPr>
      <w:r>
        <w:rPr>
          <w:rFonts w:ascii="Courier New" w:hAnsi="Courier New" w:eastAsia="Courier New"/>
          <w:color w:val="000000"/>
          <w:spacing w:val="-7"/>
          <w:w w:val="95"/>
          <w:sz w:val="26"/>
          <w:vertAlign w:val="baseline"/>
          <w:lang w:val="en-US"/>
        </w:rPr>
        <w:t xml:space="preserve">Either party may demand a trial by jury. MSA S 566.07. The jury's verdict may be either a general verdict, in which the jury finds generally upon all the issues, or a special verdict, in which the jury only finds the facts. A special verdict must present the conclusions of fact as established by the evidence so that nothing remains to the court but to draw conclusions of law from the facts. MSA § 546.19. Rule 49 of the Rules of Civil Procedure specifies further procedures necessary to ensure that the jury's decision is based upon the merits of the case. A motion also may be made for a judgment notwithstanding the verdict, which will be granted if the moving party would have been entitled to a directed verdict at the close of the evidence. RCP Rule 50.02.</w:t>
      </w:r>
    </w:p>
    <w:p>
      <w:pPr>
        <w:spacing w:before="265" w:after="0" w:line="240" w:lineRule="exact"/>
        <w:ind w:right="0" w:left="0" w:firstLine="0"/>
        <w:jc w:val="center"/>
        <w:textAlignment w:val="baseline"/>
        <w:rPr>
          <w:rFonts w:ascii="Times New Roman" w:hAnsi="Times New Roman" w:eastAsia="Times New Roman"/>
          <w:color w:val="000000"/>
          <w:spacing w:val="0"/>
          <w:w w:val="100"/>
          <w:sz w:val="19"/>
          <w:vertAlign w:val="baseline"/>
          <w:lang w:val="en-US"/>
        </w:rPr>
      </w:pPr>
      <w:r>
        <w:rPr>
          <w:rFonts w:ascii="Times New Roman" w:hAnsi="Times New Roman" w:eastAsia="Times New Roman"/>
          <w:color w:val="000000"/>
          <w:spacing w:val="0"/>
          <w:w w:val="100"/>
          <w:sz w:val="19"/>
          <w:vertAlign w:val="baseline"/>
          <w:lang w:val="en-US"/>
        </w:rPr>
        <w:t xml:space="preserve">7</w:t>
      </w:r>
    </w:p>
    <w:p>
      <w:pPr>
        <w:sectPr>
          <w:type w:val="nextPage"/>
          <w:pgSz w:w="12240" w:h="15840" w:orient="portrait"/>
          <w:pgMar w:bottom="924" w:top="1460" w:right="1482" w:left="1218" w:header="720" w:footer="720"/>
          <w:titlePg w:val="false"/>
          <w:textDirection w:val="lrTb"/>
        </w:sectPr>
      </w:pPr>
    </w:p>
    <w:p>
      <w:pPr>
        <w:spacing w:before="28" w:after="0" w:line="242" w:lineRule="exact"/>
        <w:ind w:right="36" w:left="72" w:firstLine="0"/>
        <w:jc w:val="right"/>
        <w:textAlignment w:val="baseline"/>
        <w:rPr>
          <w:rFonts w:ascii="Courier New" w:hAnsi="Courier New" w:eastAsia="Courier New"/>
          <w:color w:val="000000"/>
          <w:spacing w:val="-12"/>
          <w:w w:val="100"/>
          <w:sz w:val="26"/>
          <w:vertAlign w:val="baseline"/>
          <w:lang w:val="en-US"/>
        </w:rPr>
      </w:pPr>
      <w:r>
        <w:rPr>
          <w:rFonts w:ascii="Courier New" w:hAnsi="Courier New" w:eastAsia="Courier New"/>
          <w:color w:val="000000"/>
          <w:spacing w:val="-12"/>
          <w:w w:val="100"/>
          <w:sz w:val="26"/>
          <w:vertAlign w:val="baseline"/>
          <w:lang w:val="en-US"/>
        </w:rPr>
        <w:t xml:space="preserve">MINNESOTA: DUE PROCESS DETERMINATION</w:t>
      </w:r>
    </w:p>
    <w:p>
      <w:pPr>
        <w:spacing w:before="974" w:after="0" w:line="242" w:lineRule="exact"/>
        <w:ind w:right="216" w:left="72" w:firstLine="720"/>
        <w:jc w:val="left"/>
        <w:textAlignment w:val="baseline"/>
        <w:rPr>
          <w:rFonts w:ascii="Courier New" w:hAnsi="Courier New" w:eastAsia="Courier New"/>
          <w:color w:val="000000"/>
          <w:spacing w:val="0"/>
          <w:w w:val="95"/>
          <w:sz w:val="26"/>
          <w:vertAlign w:val="baseline"/>
          <w:lang w:val="en-US"/>
        </w:rPr>
      </w:pPr>
      <w:r>
        <w:rPr>
          <w:rFonts w:ascii="Courier New" w:hAnsi="Courier New" w:eastAsia="Courier New"/>
          <w:color w:val="000000"/>
          <w:spacing w:val="0"/>
          <w:w w:val="95"/>
          <w:sz w:val="26"/>
          <w:vertAlign w:val="baseline"/>
          <w:lang w:val="en-US"/>
        </w:rPr>
        <w:t xml:space="preserve">In an action tried without a jury (or with an advisory jury), the court must find the facts specially, state separately its conclusions of law thereon and direct entry of the appropriate judgment. The findings of a referee, to the extent adopted by the court, will be considered as findings of the court.</w:t>
      </w:r>
      <w:r>
        <w:rPr>
          <w:rFonts w:ascii="Lucida Console" w:hAnsi="Lucida Console" w:eastAsia="Lucida Console"/>
          <w:color w:val="000000"/>
          <w:spacing w:val="0"/>
          <w:w w:val="95"/>
          <w:sz w:val="26"/>
          <w:vertAlign w:val="superscript"/>
          <w:lang w:val="en-US"/>
        </w:rPr>
        <w:t xml:space="preserve">5</w:t>
      </w:r>
      <w:r>
        <w:rPr>
          <w:rFonts w:ascii="Courier New" w:hAnsi="Courier New" w:eastAsia="Courier New"/>
          <w:color w:val="000000"/>
          <w:spacing w:val="0"/>
          <w:w w:val="95"/>
          <w:sz w:val="26"/>
          <w:vertAlign w:val="baseline"/>
          <w:lang w:val="en-US"/>
        </w:rPr>
        <w:t xml:space="preserve"> RCP Rule 52.01.</w:t>
      </w:r>
    </w:p>
    <w:p>
      <w:pPr>
        <w:spacing w:before="238" w:after="0" w:line="242" w:lineRule="exact"/>
        <w:ind w:right="36" w:left="72" w:firstLine="720"/>
        <w:jc w:val="left"/>
        <w:textAlignment w:val="baseline"/>
        <w:rPr>
          <w:rFonts w:ascii="Courier New" w:hAnsi="Courier New" w:eastAsia="Courier New"/>
          <w:color w:val="000000"/>
          <w:spacing w:val="-7"/>
          <w:w w:val="95"/>
          <w:sz w:val="26"/>
          <w:vertAlign w:val="baseline"/>
          <w:lang w:val="en-US"/>
        </w:rPr>
      </w:pPr>
      <w:r>
        <w:rPr>
          <w:rFonts w:ascii="Courier New" w:hAnsi="Courier New" w:eastAsia="Courier New"/>
          <w:color w:val="000000"/>
          <w:spacing w:val="-7"/>
          <w:w w:val="95"/>
          <w:sz w:val="26"/>
          <w:vertAlign w:val="baseline"/>
          <w:lang w:val="en-US"/>
        </w:rPr>
        <w:t xml:space="preserve">A decision on the merits also is required by the due process clause of the Minnesota Constitution. Article I, Section 7.</w:t>
      </w:r>
    </w:p>
    <w:p>
      <w:pPr>
        <w:spacing w:before="280" w:after="0" w:line="242" w:lineRule="exact"/>
        <w:ind w:right="36" w:left="72" w:firstLine="0"/>
        <w:jc w:val="left"/>
        <w:textAlignment w:val="baseline"/>
        <w:rPr>
          <w:rFonts w:ascii="Courier New" w:hAnsi="Courier New" w:eastAsia="Courier New"/>
          <w:color w:val="000000"/>
          <w:spacing w:val="-2"/>
          <w:w w:val="100"/>
          <w:sz w:val="26"/>
          <w:vertAlign w:val="baseline"/>
          <w:lang w:val="en-US"/>
        </w:rPr>
      </w:pPr>
      <w:r>
        <w:rPr>
          <w:rFonts w:ascii="Courier New" w:hAnsi="Courier New" w:eastAsia="Courier New"/>
          <w:color w:val="000000"/>
          <w:spacing w:val="-2"/>
          <w:w w:val="100"/>
          <w:sz w:val="26"/>
          <w:vertAlign w:val="baseline"/>
          <w:lang w:val="en-US"/>
        </w:rPr>
        <w:t xml:space="preserve">V. </w:t>
      </w:r>
      <w:r>
        <w:rPr>
          <w:rFonts w:ascii="Courier New" w:hAnsi="Courier New" w:eastAsia="Courier New"/>
          <w:color w:val="000000"/>
          <w:spacing w:val="-2"/>
          <w:w w:val="100"/>
          <w:sz w:val="26"/>
          <w:u w:val="single"/>
          <w:vertAlign w:val="baseline"/>
          <w:lang w:val="en-US"/>
        </w:rPr>
        <w:t xml:space="preserve">Conclusion</w:t>
      </w:r>
    </w:p>
    <w:p>
      <w:pPr>
        <w:spacing w:before="201" w:after="0" w:line="242" w:lineRule="exact"/>
        <w:ind w:right="360" w:left="72" w:firstLine="720"/>
        <w:jc w:val="left"/>
        <w:textAlignment w:val="baseline"/>
        <w:rPr>
          <w:rFonts w:ascii="Courier New" w:hAnsi="Courier New" w:eastAsia="Courier New"/>
          <w:color w:val="000000"/>
          <w:spacing w:val="-8"/>
          <w:w w:val="95"/>
          <w:sz w:val="26"/>
          <w:vertAlign w:val="baseline"/>
          <w:lang w:val="en-US"/>
        </w:rPr>
      </w:pPr>
      <w:r>
        <w:rPr>
          <w:rFonts w:ascii="Courier New" w:hAnsi="Courier New" w:eastAsia="Courier New"/>
          <w:color w:val="000000"/>
          <w:spacing w:val="-8"/>
          <w:w w:val="95"/>
          <w:sz w:val="26"/>
          <w:vertAlign w:val="baseline"/>
          <w:lang w:val="en-US"/>
        </w:rPr>
        <w:t xml:space="preserve">Minnesota law governing a FED Action in the Minnesota District Court (or in the Housing Courts of Hennepin and Ramsey Counties) requires that the tenant have the opportunity for a pre-eviction hearing in court which provides the basic elements of due process as defined in 24 C.F.R. S 966.53(c) of the HUD regulations.</w:t>
      </w:r>
    </w:p>
    <w:p>
      <w:pPr>
        <w:spacing w:before="199" w:after="2723" w:line="242" w:lineRule="exact"/>
        <w:ind w:right="36" w:left="72" w:firstLine="720"/>
        <w:jc w:val="left"/>
        <w:textAlignment w:val="baseline"/>
        <w:rPr>
          <w:rFonts w:ascii="Courier New" w:hAnsi="Courier New" w:eastAsia="Courier New"/>
          <w:color w:val="000000"/>
          <w:spacing w:val="-6"/>
          <w:w w:val="95"/>
          <w:sz w:val="26"/>
          <w:vertAlign w:val="baseline"/>
          <w:lang w:val="en-US"/>
        </w:rPr>
      </w:pPr>
      <w:r>
        <w:rPr>
          <w:rFonts w:ascii="Courier New" w:hAnsi="Courier New" w:eastAsia="Courier New"/>
          <w:color w:val="000000"/>
          <w:spacing w:val="-6"/>
          <w:w w:val="95"/>
          <w:sz w:val="26"/>
          <w:vertAlign w:val="baseline"/>
          <w:lang w:val="en-US"/>
        </w:rPr>
        <w:t xml:space="preserve">By virtue of this determination by HUD under section 6(k) of the U.S. Housing Act of 1937, a PHA in Minnesota may evict a public housing tenant pursuant to a FED Action in the Minnesota District Court (or in the Housing Courts of Hennepin and Ramsey Counties) for any criminal activity that threatens the health, safety, or right to peaceful enjoyment of the premises of other tenants or employees of the PHA or any drug-related criminal activity on or near the premises, and is not required to first afford the tenant the opportunity for an administrative hearing on the eviction.</w:t>
      </w:r>
    </w:p>
    <w:p>
      <w:pPr>
        <w:spacing w:before="184" w:after="0" w:line="242" w:lineRule="exact"/>
        <w:ind w:right="144" w:left="72" w:firstLine="720"/>
        <w:jc w:val="left"/>
        <w:textAlignment w:val="baseline"/>
        <w:rPr>
          <w:rFonts w:ascii="Courier New" w:hAnsi="Courier New" w:eastAsia="Courier New"/>
          <w:color w:val="000000"/>
          <w:spacing w:val="-9"/>
          <w:w w:val="95"/>
          <w:sz w:val="26"/>
          <w:vertAlign w:val="baseline"/>
          <w:lang w:val="en-US"/>
        </w:rPr>
      </w:pPr>
      <w:r>
        <w:pict>
          <v:line strokeweight="0.7pt" strokecolor="#000000" from="63.1pt,618.7pt" to="208.15pt,618.7pt" style="position:absolute;mso-position-horizontal-relative:page;mso-position-vertical-relative:page;">
            <v:stroke dashstyle="solid"/>
          </v:line>
        </w:pict>
      </w:r>
      <w:r>
        <w:rPr>
          <w:rFonts w:ascii="Courier New" w:hAnsi="Courier New" w:eastAsia="Courier New"/>
          <w:color w:val="000000"/>
          <w:spacing w:val="-9"/>
          <w:w w:val="95"/>
          <w:sz w:val="26"/>
          <w:vertAlign w:val="baseline"/>
          <w:lang w:val="en-US"/>
        </w:rPr>
        <w:t xml:space="preserve">5 The recommended findings and orders of the referee become the findings and orders of the court when confirmed by a District Court judge. 1989 Minn. Chapter Law 328 S 17 subd.5. In the alternative, either party may request that a judge hear a case by filing such a request at least one day prior to the scheduled hearing date. Minn.Gen.R.Prac. § 602.</w:t>
      </w:r>
    </w:p>
    <w:p>
      <w:pPr>
        <w:spacing w:before="222" w:after="0" w:line="248" w:lineRule="exact"/>
        <w:ind w:right="36" w:left="72" w:firstLine="0"/>
        <w:jc w:val="center"/>
        <w:textAlignment w:val="baseline"/>
        <w:rPr>
          <w:rFonts w:ascii="Times New Roman" w:hAnsi="Times New Roman" w:eastAsia="Times New Roman"/>
          <w:color w:val="000000"/>
          <w:spacing w:val="0"/>
          <w:w w:val="100"/>
          <w:sz w:val="21"/>
          <w:vertAlign w:val="baseline"/>
          <w:lang w:val="en-US"/>
        </w:rPr>
      </w:pPr>
      <w:r>
        <w:rPr>
          <w:rFonts w:ascii="Times New Roman" w:hAnsi="Times New Roman" w:eastAsia="Times New Roman"/>
          <w:color w:val="000000"/>
          <w:spacing w:val="0"/>
          <w:w w:val="100"/>
          <w:sz w:val="21"/>
          <w:vertAlign w:val="baseline"/>
          <w:lang w:val="en-US"/>
        </w:rPr>
        <w:t xml:space="preserve">8</w:t>
      </w:r>
    </w:p>
    <w:sectPr>
      <w:type w:val="nextPage"/>
      <w:pgSz w:w="12240" w:h="15840" w:orient="portrait"/>
      <w:pgMar w:bottom="964" w:top="1420" w:right="1506" w:left="1194" w:header="720" w:footer="720"/>
      <w:titlePg w:val="false"/>
      <w:textDirection w:val="lrTb"/>
    </w:sectPr>
  </w:body>
</w:document>
</file>

<file path=word/fontTable.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Bookman Old Style">
    <w:charset w:val="00"/>
    <w:pitch w:val="variable"/>
    <w:family w:val="roman"/>
    <w:panose1 w:val="02020603050405020304"/>
  </w:font>
  <w:font w:name="Courier New">
    <w:charset w:val="00"/>
    <w:pitch w:val="fixed"/>
    <w:family w:val="modern"/>
    <w:panose1 w:val="02020603050405020304"/>
  </w:font>
  <w:font w:name="Lucida Console">
    <w:charset w:val="00"/>
    <w:pitch w:val="fixed"/>
    <w:family w:val="auto"/>
    <w:panose1 w:val="02020603050405020304"/>
  </w:font>
  <w:font w:name="Times New Roman">
    <w:charset w:val="00"/>
    <w:pitch w:val="variable"/>
    <w:family w:val="roman"/>
    <w:panose1 w:val="02020603050405020304"/>
  </w:font>
  <w:font w:name="Verdana">
    <w:charset w:val="00"/>
    <w:pitch w:val="variable"/>
    <w:family w:val="swiss"/>
    <w:panose1 w:val="02020603050405020304"/>
  </w:font>
</w:fonts>
</file>

<file path=word/footnotes.xml><?xml version="1.0" encoding="utf-8"?>
<w:footnote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otnote w:type="separator" w:id="-1">
    <w:p/>
  </w:footnote>
  <w:footnote w:type="continuationSeparator" w:id="0">
    <w:p>
      <w:r>
        <w:continuationSeparator/>
      </w:r>
    </w:p>
  </w:footnote>
</w:footnotes>
</file>

<file path=word/numbering.xml><?xml version="1.0" encoding="utf-8"?>
<w:numbering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abstractNum w:abstractNumId="1">
    <w:lvl w:ilvl="0">
      <w:start w:val="1"/>
      <w:numFmt w:val="decimal"/>
      <w:lvlText w:val="%1."/>
      <w:pPr>
        <w:tabs>
          <w:tab w:val="left" w:pos="720"/>
        </w:tabs>
      </w:pPr>
      <w:rPr>
        <w:rFonts w:ascii="Courier New" w:hAnsi="Courier New" w:eastAsia="Courier New"/>
        <w:color w:val="000000"/>
        <w:spacing w:val="-9"/>
        <w:w w:val="95"/>
        <w:sz w:val="26"/>
        <w:vertAlign w:val="baseline"/>
        <w:lang w:val="en-US"/>
      </w:rPr>
    </w:lvl>
  </w:abstractNum>
  <w:abstractNum w:abstractNumId="2">
    <w:lvl w:ilvl="0">
      <w:start w:val="1"/>
      <w:numFmt w:val="upperRoman"/>
      <w:lvlText w:val="%1."/>
      <w:pPr>
        <w:tabs>
          <w:tab w:val="left" w:pos="720"/>
        </w:tabs>
      </w:pPr>
      <w:rPr>
        <w:rFonts w:ascii="Courier New" w:hAnsi="Courier New" w:eastAsia="Courier New"/>
        <w:color w:val="000000"/>
        <w:spacing w:val="-9"/>
        <w:w w:val="95"/>
        <w:sz w:val="26"/>
        <w:vertAlign w:val="baseline"/>
        <w:lang w:val="en-US"/>
      </w:rPr>
    </w:lvl>
  </w:abstractNum>
  <w:abstractNum w:abstractNumId="3">
    <w:lvl w:ilvl="0">
      <w:start w:val="1"/>
      <w:numFmt w:val="upperRoman"/>
      <w:lvlText w:val="%1."/>
      <w:pPr>
        <w:tabs>
          <w:tab w:val="left" w:pos="720"/>
        </w:tabs>
      </w:pPr>
      <w:rPr>
        <w:rFonts w:ascii="Courier New" w:hAnsi="Courier New" w:eastAsia="Courier New"/>
        <w:color w:val="000000"/>
        <w:spacing w:val="-10"/>
        <w:w w:val="100"/>
        <w:sz w:val="26"/>
        <w:u w:val="single"/>
        <w:vertAlign w:val="baseline"/>
        <w:lang w:val="en-US"/>
      </w:rPr>
    </w:lvl>
  </w:abstractNum>
  <w:abstractNum w:abstractNumId="4">
    <w:lvl w:ilvl="0">
      <w:start w:val="2"/>
      <w:numFmt w:val="decimal"/>
      <w:lvlText w:val="(%1)"/>
      <w:pPr>
        <w:tabs>
          <w:tab w:val="left" w:pos="648"/>
        </w:tabs>
      </w:pPr>
      <w:rPr>
        <w:rFonts w:ascii="Courier New" w:hAnsi="Courier New" w:eastAsia="Courier New"/>
        <w:color w:val="000000"/>
        <w:spacing w:val="-13"/>
        <w:w w:val="100"/>
        <w:sz w:val="26"/>
        <w:vertAlign w:val="baseline"/>
        <w:lang w:val="en-US"/>
      </w:rPr>
    </w:lvl>
  </w:abstractNum>
  <w:abstractNum w:abstractNumId="5">
    <w:lvl w:ilvl="0">
      <w:start w:val="1"/>
      <w:numFmt w:val="upperLetter"/>
      <w:lvlText w:val="%1."/>
      <w:pPr>
        <w:tabs>
          <w:tab w:val="left" w:pos="720"/>
        </w:tabs>
      </w:pPr>
      <w:rPr>
        <w:rFonts w:ascii="Courier New" w:hAnsi="Courier New" w:eastAsia="Courier New"/>
        <w:color w:val="000000"/>
        <w:spacing w:val="-7"/>
        <w:w w:val="95"/>
        <w:sz w:val="26"/>
        <w:u w:val="single"/>
        <w:vertAlign w:val="baseline"/>
        <w:lang w:val="en-US"/>
      </w:rPr>
    </w:lvl>
  </w:abstractNum>
  <w:abstractNum w:abstractNumId="6">
    <w:lvl w:ilvl="0">
      <w:start w:val="2"/>
      <w:numFmt w:val="decimal"/>
      <w:lvlText w:val="(%1)"/>
      <w:pPr>
        <w:tabs>
          <w:tab w:val="left" w:pos="720"/>
        </w:tabs>
      </w:pPr>
      <w:rPr>
        <w:rFonts w:ascii="Courier New" w:hAnsi="Courier New" w:eastAsia="Courier New"/>
        <w:color w:val="000000"/>
        <w:spacing w:val="-8"/>
        <w:w w:val="95"/>
        <w:sz w:val="26"/>
        <w:vertAlign w:val="baseline"/>
        <w:lang w:val="en-US"/>
      </w:rPr>
    </w:lvl>
  </w:abstractNum>
  <w:abstractNum w:abstractNumId="7">
    <w:lvl w:ilvl="0">
      <w:start w:val="4"/>
      <w:numFmt w:val="decimal"/>
      <w:lvlText w:val="(%1)"/>
      <w:pPr>
        <w:tabs>
          <w:tab w:val="left" w:pos="720"/>
        </w:tabs>
      </w:pPr>
      <w:rPr>
        <w:rFonts w:ascii="Courier New" w:hAnsi="Courier New" w:eastAsia="Courier New"/>
        <w:color w:val="000000"/>
        <w:spacing w:val="-8"/>
        <w:w w:val="95"/>
        <w:sz w:val="26"/>
        <w:vertAlign w:val="baseline"/>
        <w:lang w:val="en-US"/>
      </w:rPr>
    </w:lvl>
  </w:abstractNum>
  <w:abstractNum w:abstractNumId="8">
    <w:lvl w:ilvl="0">
      <w:start w:val="0"/>
      <w:numFmt w:val="decimal"/>
      <w:lvlText w:val="(%1)"/>
      <w:pPr>
        <w:tabs>
          <w:tab w:val="left" w:pos="432"/>
        </w:tabs>
      </w:pPr>
      <w:rPr>
        <w:rFonts w:ascii="Courier New" w:hAnsi="Courier New" w:eastAsia="Courier New"/>
        <w:color w:val="000000"/>
        <w:spacing w:val="0"/>
        <w:w w:val="100"/>
        <w:sz w:val="26"/>
        <w:vertAlign w:val="baseline"/>
        <w:lang w:val="en-U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compat>
    <w:shapeLayoutLikeWW8/>
    <w:doNotUseHTMLParagraphAutoSpacing/>
    <w:applyBreakingRules/>
    <w:useFELayout/>
    <w:doNotUseIndentAsNumberingTabStop/>
    <w:compatSetting w:name="compatibilityMode" w:uri="http://schemas.microsoft.com/office/word" w:val="15"/>
  </w:compat>
  <w:footnotePr>
    <w:footnote w:id="-1"/>
    <w:footnote w:id="0"/>
  </w:footnotePr>
</w:settings>
</file>

<file path=word/styles.xml><?xml version="1.0" encoding="utf-8"?>
<w:style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docDefaults>
    <w:rPrDefault>
      <w:rPr>
        <w:rFonts w:ascii="Times New Roman" w:hAnsi="Times New Roman" w:eastAsia="PMingLiU" w:cs="Times New Roman"/>
        <w:sz w:val="22"/>
        <w:szCs w:val="22"/>
        <w:lang w:val="en-US" w:eastAsia="en-US" w:bidi="ar-SA"/>
      </w:rPr>
    </w:rPrDefault>
    <w:pPrDefault/>
  </w:docDefaults>
  <w:style w:styleId="DefaultParagraphFont" w:type="paragraph" w:default="1">
    <w:name w:val="Normal"/>
  </w:style>
  <w:style w:styleId="DefaultParagraphFont" w:type="character" w:default="1">
    <w:name w:val="Default Paragraph Font"/>
  </w:style>
</w:styles>
</file>

<file path=word/_rels/document.xml.rels><Relationships xmlns="http://schemas.openxmlformats.org/package/2006/relationships"><Relationship Id="nId" Type="http://schemas.openxmlformats.org/officeDocument/2006/relationships/numbering" Target="numbering.xml"/><Relationship Id="fId" Type="http://schemas.openxmlformats.org/wordprocessingml/2006/fontTable" Target="fontTable.xml"/><Relationship Id="prId1" Type="http://schemas.openxmlformats.org/officeDocument/2006/relationships/image" Target="media/image1.jpg"/><Relationship Id="prId2" Type="http://schemas.openxmlformats.org/officeDocument/2006/relationships/image" Target="media/image2.jpg"/><Relationship Id="prId3" Type="http://schemas.openxmlformats.org/officeDocument/2006/relationships/image" Target="media/image3.png"/><Relationship Id="styleId" Type="http://schemas.openxmlformats.org/officeDocument/2006/relationships/styles" Target="styles.xml"/><Relationship Id="settingId" Type="http://schemas.openxmlformats.org/officeDocument/2006/relationships/settings" Target="settings.xml"/><Relationship Id="footnotesId" Type="http://schemas.openxmlformats.org/officeDocument/2006/relationships/footnotes" Target="footnotes.xml"/></Relationships>
</file>

<file path=docProps/app.xml><?xml version="1.0" encoding="utf-8"?>
<Propertie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xmlns="http://schemas.openxmlformats.org/officeDocument/2006/extended-properties"/>
</file>

<file path=docProps/core.xml><?xml version="1.0" encoding="utf-8"?>
<cp:coreProperties xmlns:dcterms="http://purl.org/dc/terms/" xmlns:xsi="http://www.w3.org/2001/XMLSchema-instance"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dc:creator>H06238</dc:creator>
  <dcterms:created xsi:type="dcterms:W3CDTF">2025-02-04T14:48:35Z</dcterms:created>
  <dcterms:modified xsi:type="dcterms:W3CDTF">2025-02-04T14:48:35Z</dcterms:modified>
</cp:coreProperties>
</file>