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51C65F" w14:textId="77777777" w:rsidR="00BA1999" w:rsidRPr="00BA1999" w:rsidRDefault="00BA1999" w:rsidP="00BA1999">
      <w:pPr>
        <w:jc w:val="center"/>
        <w:rPr>
          <w:rFonts w:ascii="Arial" w:hAnsi="Arial" w:cs="Arial"/>
        </w:rPr>
      </w:pPr>
      <w:r w:rsidRPr="00BA1999">
        <w:rPr>
          <w:rFonts w:ascii="Arial" w:hAnsi="Arial" w:cs="Arial"/>
        </w:rPr>
        <w:t>Addendum</w:t>
      </w:r>
    </w:p>
    <w:p w14:paraId="3D3401BB" w14:textId="77777777" w:rsidR="00BA1999" w:rsidRPr="00BA1999" w:rsidRDefault="00BA1999" w:rsidP="00BA1999">
      <w:pPr>
        <w:jc w:val="center"/>
        <w:rPr>
          <w:rFonts w:ascii="Arial" w:hAnsi="Arial" w:cs="Arial"/>
        </w:rPr>
      </w:pPr>
      <w:r w:rsidRPr="00BA1999">
        <w:rPr>
          <w:rFonts w:ascii="Arial" w:hAnsi="Arial" w:cs="Arial"/>
        </w:rPr>
        <w:t>(South Carolina)</w:t>
      </w:r>
    </w:p>
    <w:p w14:paraId="0F3326E6" w14:textId="77777777" w:rsidR="00BA1999" w:rsidRPr="00BA1999" w:rsidRDefault="00BA1999" w:rsidP="00BA1999">
      <w:pPr>
        <w:jc w:val="center"/>
        <w:rPr>
          <w:rFonts w:ascii="Arial" w:hAnsi="Arial" w:cs="Arial"/>
        </w:rPr>
      </w:pPr>
    </w:p>
    <w:p w14:paraId="3867EF5E" w14:textId="77777777" w:rsidR="00BA1999" w:rsidRPr="00BA1999" w:rsidRDefault="00BA1999" w:rsidP="00BA1999">
      <w:pPr>
        <w:rPr>
          <w:rFonts w:ascii="Arial" w:hAnsi="Arial" w:cs="Arial"/>
        </w:rPr>
      </w:pPr>
    </w:p>
    <w:p w14:paraId="0656AA44" w14:textId="39E789F0" w:rsidR="00BA1999" w:rsidRPr="00BA1999" w:rsidRDefault="00BA1999" w:rsidP="00BA1999">
      <w:pPr>
        <w:rPr>
          <w:rFonts w:ascii="Arial" w:hAnsi="Arial" w:cs="Arial"/>
        </w:rPr>
      </w:pP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HUD Project Number:</w:t>
      </w:r>
    </w:p>
    <w:p w14:paraId="45CEA042" w14:textId="02A37CA1" w:rsidR="00BA1999" w:rsidRPr="00BA1999" w:rsidRDefault="00BA1999" w:rsidP="00BA1999">
      <w:pPr>
        <w:rPr>
          <w:rFonts w:ascii="Arial" w:hAnsi="Arial" w:cs="Arial"/>
        </w:rPr>
      </w:pP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ab/>
      </w:r>
      <w:r w:rsidRPr="00BA1999">
        <w:rPr>
          <w:rFonts w:ascii="Arial" w:hAnsi="Arial" w:cs="Arial"/>
        </w:rPr>
        <w:t>Project Name:</w:t>
      </w:r>
    </w:p>
    <w:p w14:paraId="22E6EE9A" w14:textId="77777777" w:rsidR="00BA1999" w:rsidRPr="00BA1999" w:rsidRDefault="00BA1999" w:rsidP="00BA1999">
      <w:pPr>
        <w:rPr>
          <w:rFonts w:ascii="Arial" w:hAnsi="Arial" w:cs="Arial"/>
        </w:rPr>
      </w:pPr>
    </w:p>
    <w:p w14:paraId="105C4FA2" w14:textId="77777777" w:rsidR="00BA1999" w:rsidRPr="00BA1999" w:rsidRDefault="00BA1999" w:rsidP="00BA1999">
      <w:pPr>
        <w:rPr>
          <w:rFonts w:ascii="Arial" w:hAnsi="Arial" w:cs="Arial"/>
        </w:rPr>
      </w:pPr>
    </w:p>
    <w:p w14:paraId="4067AA7B" w14:textId="77777777" w:rsidR="00BA1999" w:rsidRPr="00BA1999" w:rsidRDefault="00BA1999" w:rsidP="00BA1999">
      <w:pPr>
        <w:ind w:firstLine="720"/>
        <w:rPr>
          <w:rFonts w:ascii="Arial" w:hAnsi="Arial" w:cs="Arial"/>
          <w:b/>
        </w:rPr>
      </w:pPr>
      <w:r w:rsidRPr="00BA1999">
        <w:rPr>
          <w:rFonts w:ascii="Arial" w:hAnsi="Arial" w:cs="Arial"/>
        </w:rPr>
        <w:t xml:space="preserve">The title of the Security Instrument is modified as follows:  </w:t>
      </w:r>
      <w:r w:rsidRPr="00BA1999">
        <w:rPr>
          <w:rFonts w:ascii="Arial" w:hAnsi="Arial" w:cs="Arial"/>
          <w:b/>
        </w:rPr>
        <w:t>Multifamily Deed of Trust, Security Agreement, Assignment of Rents, and Fixture Filing (South Carolina).</w:t>
      </w:r>
    </w:p>
    <w:p w14:paraId="096AEFFC" w14:textId="77777777" w:rsidR="00BA1999" w:rsidRPr="00BA1999" w:rsidRDefault="00BA1999" w:rsidP="00BA1999">
      <w:pPr>
        <w:rPr>
          <w:rFonts w:ascii="Arial" w:hAnsi="Arial" w:cs="Arial"/>
        </w:rPr>
      </w:pPr>
      <w:bookmarkStart w:id="0" w:name="_GoBack"/>
      <w:bookmarkEnd w:id="0"/>
    </w:p>
    <w:p w14:paraId="66855689" w14:textId="3C47EE55" w:rsidR="00BA1999" w:rsidRDefault="00BA1999" w:rsidP="00BA1999">
      <w:pPr>
        <w:pStyle w:val="1"/>
        <w:numPr>
          <w:ilvl w:val="0"/>
          <w:numId w:val="1"/>
        </w:numPr>
        <w:ind w:firstLine="720"/>
        <w:jc w:val="both"/>
        <w:rPr>
          <w:rFonts w:ascii="Arial" w:hAnsi="Arial" w:cs="Arial"/>
          <w:b/>
        </w:rPr>
      </w:pPr>
      <w:r w:rsidRPr="00BA1999">
        <w:rPr>
          <w:rFonts w:ascii="Arial" w:hAnsi="Arial" w:cs="Arial"/>
          <w:b/>
        </w:rPr>
        <w:t>Acceleration; Remedies.  Lender shall give notice to Borrower prior to acceleration following Borrower’s breach of any covenant or agreement in this Security Instrument (but not prior to acceleration under Section 18 unless Applicable Law provides otherwise).  The notice shall specify: (a) the default; (b) the action required to cure the default; (c) a date, not less than 30 days from the date the notice is given to Borrower, by which the default must be cured; and (d) that failure to cure the default on or before the date specified in the notice may result in acceleration of the sums secured by this Security Instrument, foreclosure by judicial proceeding and sale of the Property.  The notice shall further inform Borrower of the right to reinstate after acceleration and the right to assert in the foreclosure proceeding the non-existence of a default or any other defense of Borrower to acceleration and foreclosure.  If the default is not cured on or before the date specified in the notice, Lender at its option may require immediate payment in full of all sums secured by this Security Instrument without further demand and may foreclose this Security Instrument by judicial proceeding.  Lender shall be entitled to collect all expenses incurred in pursuing the remedies provided in this Section 22, including, but not limited to, reasonable attorneys’ fees and costs of title evidence, all of which shall be additional sums secured by this Security Instrument.</w:t>
      </w:r>
    </w:p>
    <w:p w14:paraId="2E8EF5A4" w14:textId="77777777" w:rsidR="00BA1999" w:rsidRPr="00BA1999" w:rsidRDefault="00BA1999" w:rsidP="00BA1999">
      <w:pPr>
        <w:pStyle w:val="1"/>
        <w:ind w:left="720" w:firstLine="0"/>
        <w:jc w:val="both"/>
        <w:rPr>
          <w:rFonts w:ascii="Arial" w:hAnsi="Arial" w:cs="Arial"/>
          <w:b/>
        </w:rPr>
      </w:pPr>
    </w:p>
    <w:p w14:paraId="2455A442" w14:textId="55BCF42F" w:rsidR="00BA1999" w:rsidRDefault="00BA1999" w:rsidP="00BA1999">
      <w:pPr>
        <w:pStyle w:val="1"/>
        <w:numPr>
          <w:ilvl w:val="0"/>
          <w:numId w:val="1"/>
        </w:numPr>
        <w:ind w:firstLine="720"/>
        <w:jc w:val="both"/>
        <w:rPr>
          <w:rFonts w:ascii="Arial" w:hAnsi="Arial" w:cs="Arial"/>
        </w:rPr>
      </w:pPr>
      <w:r w:rsidRPr="00BA1999">
        <w:rPr>
          <w:rFonts w:ascii="Arial" w:hAnsi="Arial" w:cs="Arial"/>
          <w:b/>
        </w:rPr>
        <w:t>Release.</w:t>
      </w:r>
      <w:r w:rsidRPr="00BA1999">
        <w:rPr>
          <w:rFonts w:ascii="Arial" w:hAnsi="Arial" w:cs="Arial"/>
        </w:rPr>
        <w:t xml:space="preserve">  Upon payment of all sums secured by this Security Instrument, this Security Instrument shall become null and void.  Lender shall release this Security Instrument.  Borrower shall pay any recordation costs.  Lender may charge Borrower a fee for releasing this Security Instrument, but only if the fee is paid to a third party for services rendered and the charging of the fee is permitted under Applicable Law.</w:t>
      </w:r>
    </w:p>
    <w:p w14:paraId="4CF08A69" w14:textId="77777777" w:rsidR="00BA1999" w:rsidRPr="00BA1999" w:rsidRDefault="00BA1999" w:rsidP="00BA1999">
      <w:pPr>
        <w:pStyle w:val="1"/>
        <w:ind w:left="720" w:firstLine="0"/>
        <w:jc w:val="both"/>
        <w:rPr>
          <w:rFonts w:ascii="Arial" w:hAnsi="Arial" w:cs="Arial"/>
        </w:rPr>
      </w:pPr>
    </w:p>
    <w:p w14:paraId="048B2D54" w14:textId="42FAC818" w:rsidR="00BA1999" w:rsidRDefault="00BA1999" w:rsidP="00BA1999">
      <w:pPr>
        <w:pStyle w:val="1"/>
        <w:numPr>
          <w:ilvl w:val="0"/>
          <w:numId w:val="1"/>
        </w:numPr>
        <w:ind w:firstLine="720"/>
        <w:jc w:val="both"/>
        <w:rPr>
          <w:rFonts w:ascii="Arial" w:hAnsi="Arial" w:cs="Arial"/>
        </w:rPr>
      </w:pPr>
      <w:r w:rsidRPr="00BA1999">
        <w:rPr>
          <w:rFonts w:ascii="Arial" w:hAnsi="Arial" w:cs="Arial"/>
          <w:b/>
        </w:rPr>
        <w:t>Homestead Waiver.</w:t>
      </w:r>
      <w:r w:rsidRPr="00BA1999">
        <w:rPr>
          <w:rFonts w:ascii="Arial" w:hAnsi="Arial" w:cs="Arial"/>
        </w:rPr>
        <w:t xml:space="preserve">  Borrower waives all rights of homestead exemption in the Property to the extent allowed by Applicable Law. </w:t>
      </w:r>
    </w:p>
    <w:p w14:paraId="29DB146A" w14:textId="77777777" w:rsidR="00BA1999" w:rsidRPr="00BA1999" w:rsidRDefault="00BA1999" w:rsidP="00BA1999">
      <w:pPr>
        <w:pStyle w:val="1"/>
        <w:ind w:left="720" w:firstLine="0"/>
        <w:jc w:val="both"/>
        <w:rPr>
          <w:rFonts w:ascii="Arial" w:hAnsi="Arial" w:cs="Arial"/>
        </w:rPr>
      </w:pPr>
    </w:p>
    <w:p w14:paraId="6A56AF94" w14:textId="54AAFC3A" w:rsidR="00BA1999" w:rsidRDefault="00BA1999" w:rsidP="00BA1999">
      <w:pPr>
        <w:pStyle w:val="1"/>
        <w:numPr>
          <w:ilvl w:val="0"/>
          <w:numId w:val="1"/>
        </w:numPr>
        <w:ind w:firstLine="720"/>
        <w:jc w:val="both"/>
        <w:rPr>
          <w:rFonts w:ascii="Arial" w:hAnsi="Arial" w:cs="Arial"/>
        </w:rPr>
      </w:pPr>
      <w:r w:rsidRPr="00BA1999">
        <w:rPr>
          <w:rFonts w:ascii="Arial" w:hAnsi="Arial" w:cs="Arial"/>
          <w:b/>
        </w:rPr>
        <w:t>Waiver of Appraisal Rights.</w:t>
      </w:r>
      <w:r w:rsidRPr="00BA1999">
        <w:rPr>
          <w:rFonts w:ascii="Arial" w:hAnsi="Arial" w:cs="Arial"/>
        </w:rPr>
        <w:t xml:space="preserve">  The laws of South Carolina provide that in any real estate foreclosure proceeding a defendant against whom a personal judgment is taken or asked may within 30 days after the sale of the mortgaged property apply to the court for an order of appraisal.  The statutory appraisal value as approved by the court would be substituted for the high bid and may decrease the amount of any deficiency </w:t>
      </w:r>
      <w:r w:rsidRPr="00BA1999">
        <w:rPr>
          <w:rFonts w:ascii="Arial" w:hAnsi="Arial" w:cs="Arial"/>
        </w:rPr>
        <w:lastRenderedPageBreak/>
        <w:t>owing in connection with the transaction.  TO THE EXTENT PERMITTED BY LAW, THE UNDERSIGNED HEREBY WAIVES AND RELINQUISHES THE STATUTORY APPRAISAL RIGHTS WHICH MEANS THE HIGH BID AT THE JUDICIAL FORECLOSURE SALE WILL BE APPLIED TO THE DEBT REGARDLESS OF ANY APPRAISED VALUE OF THE MORTGAGED PROPERTY.  This waiver shall not apply so long as the Property is used as a dwelling place as defined in § 12-37-250 of the South Carolina Code of Laws.</w:t>
      </w:r>
    </w:p>
    <w:p w14:paraId="3E9B0F1E" w14:textId="77777777" w:rsidR="00BA1999" w:rsidRPr="00BA1999" w:rsidRDefault="00BA1999" w:rsidP="00BA1999">
      <w:pPr>
        <w:pStyle w:val="1"/>
        <w:ind w:left="720" w:firstLine="0"/>
        <w:jc w:val="both"/>
        <w:rPr>
          <w:rFonts w:ascii="Arial" w:hAnsi="Arial" w:cs="Arial"/>
        </w:rPr>
      </w:pPr>
    </w:p>
    <w:p w14:paraId="1A9AA639" w14:textId="77777777" w:rsidR="00BA1999" w:rsidRPr="00BA1999" w:rsidRDefault="00BA1999" w:rsidP="00BA1999">
      <w:pPr>
        <w:pStyle w:val="1"/>
        <w:numPr>
          <w:ilvl w:val="0"/>
          <w:numId w:val="1"/>
        </w:numPr>
        <w:ind w:firstLine="720"/>
        <w:jc w:val="both"/>
        <w:rPr>
          <w:rFonts w:ascii="Arial" w:hAnsi="Arial" w:cs="Arial"/>
        </w:rPr>
      </w:pPr>
      <w:r w:rsidRPr="00BA1999">
        <w:rPr>
          <w:rFonts w:ascii="Arial" w:hAnsi="Arial" w:cs="Arial"/>
          <w:b/>
        </w:rPr>
        <w:t xml:space="preserve">Future Advances.  </w:t>
      </w:r>
      <w:r w:rsidRPr="00BA1999">
        <w:rPr>
          <w:rFonts w:ascii="Arial" w:hAnsi="Arial" w:cs="Arial"/>
        </w:rPr>
        <w:t>The lien of this Security Instrument shall secure the existing indebtedness under the Note and any future advances made under this Security Instrument up to 150% of the original principal amount of the Note plus interest thereon, attorneys’ fees and court costs.</w:t>
      </w:r>
    </w:p>
    <w:p w14:paraId="077F70CD" w14:textId="77777777" w:rsidR="00183118" w:rsidRPr="00BA1999" w:rsidRDefault="00183118" w:rsidP="00BA1999">
      <w:pPr>
        <w:rPr>
          <w:rFonts w:ascii="Arial" w:hAnsi="Arial" w:cs="Arial"/>
        </w:rPr>
      </w:pPr>
    </w:p>
    <w:sectPr w:rsidR="00183118" w:rsidRPr="00BA19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9DC65" w14:textId="77777777" w:rsidR="00A16A4E" w:rsidRDefault="00A16A4E" w:rsidP="006C5EA0">
      <w:pPr>
        <w:spacing w:after="0"/>
      </w:pPr>
      <w:r>
        <w:separator/>
      </w:r>
    </w:p>
  </w:endnote>
  <w:endnote w:type="continuationSeparator" w:id="0">
    <w:p w14:paraId="64E15E2F" w14:textId="77777777" w:rsidR="00A16A4E" w:rsidRDefault="00A16A4E" w:rsidP="006C5E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5DC09" w14:textId="77777777" w:rsidR="00EC3561" w:rsidRDefault="00EC35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4F3F6" w14:textId="77777777" w:rsidR="00EC3561" w:rsidRDefault="00EC35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67A45" w14:textId="77777777" w:rsidR="00EC3561" w:rsidRDefault="00EC3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709F7" w14:textId="77777777" w:rsidR="00A16A4E" w:rsidRDefault="00A16A4E" w:rsidP="006C5EA0">
      <w:pPr>
        <w:spacing w:after="0"/>
      </w:pPr>
      <w:r>
        <w:separator/>
      </w:r>
    </w:p>
  </w:footnote>
  <w:footnote w:type="continuationSeparator" w:id="0">
    <w:p w14:paraId="25E59FE9" w14:textId="77777777" w:rsidR="00A16A4E" w:rsidRDefault="00A16A4E" w:rsidP="006C5E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B7D71" w14:textId="77777777" w:rsidR="00EC3561" w:rsidRDefault="00EC35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6CD87" w14:textId="77777777" w:rsidR="006C5EA0" w:rsidRPr="006C5EA0" w:rsidRDefault="006C5EA0" w:rsidP="006C5EA0">
    <w:pPr>
      <w:pStyle w:val="Header"/>
      <w:rPr>
        <w:rFonts w:ascii="Arial" w:hAnsi="Arial" w:cs="Arial"/>
        <w:sz w:val="16"/>
        <w:szCs w:val="16"/>
      </w:rPr>
    </w:pPr>
    <w:r>
      <w:tab/>
    </w:r>
    <w:r>
      <w:tab/>
    </w:r>
    <w:r w:rsidRPr="006C5EA0">
      <w:rPr>
        <w:rFonts w:ascii="Arial" w:hAnsi="Arial" w:cs="Arial"/>
        <w:sz w:val="16"/>
        <w:szCs w:val="16"/>
      </w:rPr>
      <w:t>OMB Approval No. 2502-0598</w:t>
    </w:r>
  </w:p>
  <w:p w14:paraId="7BC77A66" w14:textId="0364CD6D" w:rsidR="006C5EA0" w:rsidRPr="006C5EA0" w:rsidRDefault="006C5EA0" w:rsidP="006C5EA0">
    <w:pPr>
      <w:pStyle w:val="Header"/>
      <w:rPr>
        <w:rFonts w:ascii="Arial" w:hAnsi="Arial" w:cs="Arial"/>
        <w:sz w:val="16"/>
        <w:szCs w:val="16"/>
      </w:rPr>
    </w:pPr>
    <w:r w:rsidRPr="006C5EA0">
      <w:rPr>
        <w:rFonts w:ascii="Arial" w:hAnsi="Arial" w:cs="Arial"/>
        <w:sz w:val="16"/>
        <w:szCs w:val="16"/>
      </w:rPr>
      <w:tab/>
    </w:r>
    <w:r w:rsidRPr="006C5EA0">
      <w:rPr>
        <w:rFonts w:ascii="Arial" w:hAnsi="Arial" w:cs="Arial"/>
        <w:sz w:val="16"/>
        <w:szCs w:val="16"/>
      </w:rPr>
      <w:tab/>
      <w:t>(Exp. 0</w:t>
    </w:r>
    <w:r w:rsidR="00446A9D">
      <w:rPr>
        <w:rFonts w:ascii="Arial" w:hAnsi="Arial" w:cs="Arial"/>
        <w:sz w:val="16"/>
        <w:szCs w:val="16"/>
      </w:rPr>
      <w:t>9</w:t>
    </w:r>
    <w:r w:rsidRPr="006C5EA0">
      <w:rPr>
        <w:rFonts w:ascii="Arial" w:hAnsi="Arial" w:cs="Arial"/>
        <w:sz w:val="16"/>
        <w:szCs w:val="16"/>
      </w:rPr>
      <w:t>/30/20</w:t>
    </w:r>
    <w:r w:rsidR="00446A9D">
      <w:rPr>
        <w:rFonts w:ascii="Arial" w:hAnsi="Arial" w:cs="Arial"/>
        <w:sz w:val="16"/>
        <w:szCs w:val="16"/>
      </w:rPr>
      <w:t>21</w:t>
    </w:r>
    <w:r w:rsidRPr="006C5EA0">
      <w:rPr>
        <w:rFonts w:ascii="Arial" w:hAnsi="Arial" w:cs="Arial"/>
        <w:sz w:val="16"/>
        <w:szCs w:val="16"/>
      </w:rPr>
      <w:t>)</w:t>
    </w:r>
  </w:p>
  <w:p w14:paraId="2EAF8A66" w14:textId="77777777" w:rsidR="006C5EA0" w:rsidRPr="006C5EA0" w:rsidRDefault="006C5EA0">
    <w:pPr>
      <w:pStyle w:val="Header"/>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874C1" w14:textId="77777777" w:rsidR="00EC3561" w:rsidRDefault="00EC35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3534B"/>
    <w:multiLevelType w:val="singleLevel"/>
    <w:tmpl w:val="5F86185C"/>
    <w:lvl w:ilvl="0">
      <w:start w:val="1"/>
      <w:numFmt w:val="decimal"/>
      <w:lvlText w:val="%1."/>
      <w:legacy w:legacy="1" w:legacySpace="120" w:legacyIndent="360"/>
      <w:lvlJc w:val="left"/>
      <w:pPr>
        <w:ind w:left="0" w:firstLine="0"/>
      </w:pPr>
      <w:rPr>
        <w:b/>
        <w:i w:val="0"/>
        <w:sz w:val="24"/>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4BC5"/>
    <w:rsid w:val="001634EB"/>
    <w:rsid w:val="00164255"/>
    <w:rsid w:val="00183118"/>
    <w:rsid w:val="001A23F6"/>
    <w:rsid w:val="00215CFC"/>
    <w:rsid w:val="002752B3"/>
    <w:rsid w:val="002B1BFB"/>
    <w:rsid w:val="003C7984"/>
    <w:rsid w:val="00446A9D"/>
    <w:rsid w:val="005A6DD8"/>
    <w:rsid w:val="005E6A66"/>
    <w:rsid w:val="006C5EA0"/>
    <w:rsid w:val="006E00EB"/>
    <w:rsid w:val="008C1952"/>
    <w:rsid w:val="00995037"/>
    <w:rsid w:val="009D44AD"/>
    <w:rsid w:val="009F2A8E"/>
    <w:rsid w:val="00A16A4E"/>
    <w:rsid w:val="00AC2BFA"/>
    <w:rsid w:val="00B2649D"/>
    <w:rsid w:val="00BA1999"/>
    <w:rsid w:val="00C44BC5"/>
    <w:rsid w:val="00CE65AF"/>
    <w:rsid w:val="00D06908"/>
    <w:rsid w:val="00DB1414"/>
    <w:rsid w:val="00EC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5FC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BC5"/>
    <w:pPr>
      <w:spacing w:after="200"/>
      <w:contextualSpacing/>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EA0"/>
    <w:pPr>
      <w:tabs>
        <w:tab w:val="center" w:pos="4680"/>
        <w:tab w:val="right" w:pos="9360"/>
      </w:tabs>
      <w:spacing w:after="0"/>
    </w:pPr>
  </w:style>
  <w:style w:type="character" w:customStyle="1" w:styleId="HeaderChar">
    <w:name w:val="Header Char"/>
    <w:basedOn w:val="DefaultParagraphFont"/>
    <w:link w:val="Header"/>
    <w:uiPriority w:val="99"/>
    <w:rsid w:val="006C5EA0"/>
    <w:rPr>
      <w:rFonts w:ascii="Times New Roman" w:eastAsia="Calibri" w:hAnsi="Times New Roman" w:cs="Times New Roman"/>
      <w:sz w:val="24"/>
    </w:rPr>
  </w:style>
  <w:style w:type="paragraph" w:styleId="Footer">
    <w:name w:val="footer"/>
    <w:basedOn w:val="Normal"/>
    <w:link w:val="FooterChar"/>
    <w:uiPriority w:val="99"/>
    <w:unhideWhenUsed/>
    <w:rsid w:val="006C5EA0"/>
    <w:pPr>
      <w:tabs>
        <w:tab w:val="center" w:pos="4680"/>
        <w:tab w:val="right" w:pos="9360"/>
      </w:tabs>
      <w:spacing w:after="0"/>
    </w:pPr>
  </w:style>
  <w:style w:type="character" w:customStyle="1" w:styleId="FooterChar">
    <w:name w:val="Footer Char"/>
    <w:basedOn w:val="DefaultParagraphFont"/>
    <w:link w:val="Footer"/>
    <w:uiPriority w:val="99"/>
    <w:rsid w:val="006C5EA0"/>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6C5EA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EA0"/>
    <w:rPr>
      <w:rFonts w:ascii="Tahoma" w:eastAsia="Calibri" w:hAnsi="Tahoma" w:cs="Tahoma"/>
      <w:sz w:val="16"/>
      <w:szCs w:val="16"/>
    </w:rPr>
  </w:style>
  <w:style w:type="paragraph" w:customStyle="1" w:styleId="1">
    <w:name w:val="1"/>
    <w:aliases w:val="2,3"/>
    <w:basedOn w:val="Normal"/>
    <w:rsid w:val="00BA1999"/>
    <w:pPr>
      <w:widowControl w:val="0"/>
      <w:overflowPunct w:val="0"/>
      <w:autoSpaceDE w:val="0"/>
      <w:autoSpaceDN w:val="0"/>
      <w:adjustRightInd w:val="0"/>
      <w:spacing w:after="0"/>
      <w:ind w:firstLine="720"/>
      <w:contextualSpacing w:val="0"/>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38E6B-B515-4E30-BAFC-A42D1533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2019-04-24T15:11:00Z</dcterms:created>
  <dcterms:modified xsi:type="dcterms:W3CDTF">2019-04-24T15:11:00Z</dcterms:modified>
</cp:coreProperties>
</file>