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F92D" w14:textId="12BCF814" w:rsidR="003B3A46" w:rsidRDefault="004612EA">
      <w:pPr>
        <w:spacing w:before="742" w:line="413" w:lineRule="exact"/>
        <w:ind w:left="116" w:right="49"/>
        <w:jc w:val="center"/>
        <w:textAlignment w:val="baseline"/>
        <w:rPr>
          <w:rFonts w:eastAsia="Times New Roman"/>
          <w:b/>
          <w:color w:val="000000"/>
          <w:sz w:val="36"/>
        </w:rPr>
      </w:pPr>
      <w:r>
        <w:rPr>
          <w:noProof/>
        </w:rPr>
        <mc:AlternateContent>
          <mc:Choice Requires="wps">
            <w:drawing>
              <wp:anchor distT="0" distB="0" distL="0" distR="0" simplePos="0" relativeHeight="251655680" behindDoc="1" locked="0" layoutInCell="1" allowOverlap="1" wp14:anchorId="07B8F93A" wp14:editId="0B4C8CA9">
                <wp:simplePos x="0" y="0"/>
                <wp:positionH relativeFrom="page">
                  <wp:posOffset>460375</wp:posOffset>
                </wp:positionH>
                <wp:positionV relativeFrom="page">
                  <wp:posOffset>342900</wp:posOffset>
                </wp:positionV>
                <wp:extent cx="6870700" cy="9334500"/>
                <wp:effectExtent l="0" t="0" r="0" b="0"/>
                <wp:wrapNone/>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33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F941" w14:textId="77777777" w:rsidR="003B3A46" w:rsidRDefault="003B3A46">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8F93A" id="_x0000_t202" coordsize="21600,21600" o:spt="202" path="m,l,21600r21600,l21600,xe">
                <v:stroke joinstyle="miter"/>
                <v:path gradientshapeok="t" o:connecttype="rect"/>
              </v:shapetype>
              <v:shape id="_x0000_s0" o:spid="_x0000_s1026" type="#_x0000_t202" style="position:absolute;left:0;text-align:left;margin-left:36.25pt;margin-top:27pt;width:541pt;height:73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" filled="f" stroked="f">
                <v:textbox inset="0,0,0,0">
                  <w:txbxContent>
                    <w:p w14:paraId="07B8F941" w14:textId="77777777" w:rsidR="003B3A46" w:rsidRDefault="003B3A46">
                      <w:pPr>
                        <w:pBdr>
                          <w:top w:val="single" w:sz="9" w:space="0" w:color="000000"/>
                          <w:left w:val="single" w:sz="9" w:space="0" w:color="000000"/>
                          <w:bottom w:val="single" w:sz="9" w:space="0" w:color="000000"/>
                          <w:right w:val="single" w:sz="9" w:space="0" w:color="000000"/>
                        </w:pBdr>
                      </w:pPr>
                    </w:p>
                  </w:txbxContent>
                </v:textbox>
                <w10:wrap anchorx="page" anchory="page"/>
              </v:shape>
            </w:pict>
          </mc:Fallback>
        </mc:AlternateContent>
      </w:r>
      <w:r w:rsidR="004439EC">
        <w:rPr>
          <w:rFonts w:eastAsia="Times New Roman"/>
          <w:b/>
          <w:color w:val="000000"/>
          <w:sz w:val="36"/>
        </w:rPr>
        <w:t>Housing Choice Voucher Program</w:t>
      </w:r>
    </w:p>
    <w:p w14:paraId="07B8F92E" w14:textId="307A4754" w:rsidR="003B3A46" w:rsidRDefault="004439EC">
      <w:pPr>
        <w:spacing w:line="413" w:lineRule="exact"/>
        <w:ind w:left="116" w:right="49"/>
        <w:jc w:val="center"/>
        <w:textAlignment w:val="baseline"/>
        <w:rPr>
          <w:rFonts w:eastAsia="Times New Roman"/>
          <w:b/>
          <w:color w:val="000000"/>
          <w:sz w:val="36"/>
        </w:rPr>
      </w:pPr>
      <w:r>
        <w:rPr>
          <w:rFonts w:eastAsia="Times New Roman"/>
          <w:b/>
          <w:color w:val="000000"/>
          <w:sz w:val="36"/>
        </w:rPr>
        <w:t>CY 20</w:t>
      </w:r>
      <w:r w:rsidR="00336E48">
        <w:rPr>
          <w:rFonts w:eastAsia="Times New Roman"/>
          <w:b/>
          <w:color w:val="000000"/>
          <w:sz w:val="36"/>
        </w:rPr>
        <w:t>2</w:t>
      </w:r>
      <w:r w:rsidR="00AD323F">
        <w:rPr>
          <w:rFonts w:eastAsia="Times New Roman"/>
          <w:b/>
          <w:color w:val="000000"/>
          <w:sz w:val="36"/>
        </w:rPr>
        <w:t>1</w:t>
      </w:r>
      <w:r>
        <w:rPr>
          <w:rFonts w:eastAsia="Times New Roman"/>
          <w:b/>
          <w:color w:val="000000"/>
          <w:sz w:val="36"/>
        </w:rPr>
        <w:t xml:space="preserve"> Portability Administrative Fee Rates</w:t>
      </w:r>
    </w:p>
    <w:p w14:paraId="07B8F92F" w14:textId="2BB7988F" w:rsidR="003B3A46" w:rsidRDefault="004439EC">
      <w:pPr>
        <w:spacing w:before="403" w:line="323" w:lineRule="exact"/>
        <w:ind w:left="692" w:right="985" w:firstLine="792"/>
        <w:textAlignment w:val="baseline"/>
        <w:rPr>
          <w:rFonts w:eastAsia="Times New Roman"/>
          <w:color w:val="000000"/>
          <w:sz w:val="28"/>
        </w:rPr>
      </w:pPr>
      <w:r>
        <w:rPr>
          <w:rFonts w:eastAsia="Times New Roman"/>
          <w:color w:val="000000"/>
          <w:sz w:val="28"/>
        </w:rPr>
        <w:t>Effective until further notification from HUD, receiving PHAs must calculate the fee to apply to portable vouchers using the steps that follow:</w:t>
      </w:r>
    </w:p>
    <w:p w14:paraId="07B8F930" w14:textId="09C0DF98" w:rsidR="003B3A46" w:rsidRDefault="004439EC">
      <w:pPr>
        <w:spacing w:before="319" w:line="323" w:lineRule="exact"/>
        <w:ind w:left="1484" w:right="49"/>
        <w:jc w:val="both"/>
        <w:textAlignment w:val="baseline"/>
        <w:rPr>
          <w:rFonts w:eastAsia="Times New Roman"/>
          <w:color w:val="000000"/>
          <w:sz w:val="28"/>
        </w:rPr>
      </w:pPr>
      <w:r>
        <w:rPr>
          <w:rFonts w:eastAsia="Times New Roman"/>
          <w:color w:val="000000"/>
          <w:sz w:val="28"/>
        </w:rPr>
        <w:t>Step 1: Use the lower of either 80% of the initial or 100% of the receiving PHAs column B rate for CY 20</w:t>
      </w:r>
      <w:r w:rsidR="00F259E0">
        <w:rPr>
          <w:rFonts w:eastAsia="Times New Roman"/>
          <w:color w:val="000000"/>
          <w:sz w:val="28"/>
        </w:rPr>
        <w:t>2</w:t>
      </w:r>
      <w:r w:rsidR="00AD323F">
        <w:rPr>
          <w:rFonts w:eastAsia="Times New Roman"/>
          <w:color w:val="000000"/>
          <w:sz w:val="28"/>
        </w:rPr>
        <w:t>1</w:t>
      </w:r>
      <w:r>
        <w:rPr>
          <w:rFonts w:eastAsia="Times New Roman"/>
          <w:color w:val="000000"/>
          <w:sz w:val="28"/>
        </w:rPr>
        <w:t>; and</w:t>
      </w:r>
    </w:p>
    <w:p w14:paraId="07B8F931" w14:textId="77777777" w:rsidR="003B3A46" w:rsidRDefault="004439EC">
      <w:pPr>
        <w:spacing w:before="323" w:line="323" w:lineRule="exact"/>
        <w:ind w:left="1484" w:right="49"/>
        <w:jc w:val="both"/>
        <w:textAlignment w:val="baseline"/>
        <w:rPr>
          <w:rFonts w:eastAsia="Times New Roman"/>
          <w:color w:val="000000"/>
          <w:sz w:val="28"/>
        </w:rPr>
      </w:pPr>
      <w:r>
        <w:rPr>
          <w:rFonts w:eastAsia="Times New Roman"/>
          <w:color w:val="000000"/>
          <w:sz w:val="28"/>
        </w:rPr>
        <w:t>Step 2: Then, multiply the rate selected in step 1, above, by the estimated national proration factor.</w:t>
      </w:r>
    </w:p>
    <w:p w14:paraId="07B8F932" w14:textId="66B0D236" w:rsidR="003B3A46" w:rsidRPr="00BB4FC1" w:rsidRDefault="00780BEC" w:rsidP="00F259E0">
      <w:pPr>
        <w:spacing w:before="324" w:line="321" w:lineRule="exact"/>
        <w:ind w:left="720" w:right="49" w:firstLine="720"/>
        <w:textAlignment w:val="baseline"/>
        <w:rPr>
          <w:rFonts w:eastAsia="Times New Roman"/>
          <w:b/>
          <w:color w:val="000000"/>
          <w:sz w:val="28"/>
        </w:rPr>
      </w:pPr>
      <w:bookmarkStart w:id="0" w:name="_Hlk37249542"/>
      <w:r w:rsidRPr="00F259E0">
        <w:rPr>
          <w:rFonts w:eastAsia="Times New Roman"/>
          <w:bCs/>
          <w:color w:val="000000"/>
          <w:sz w:val="28"/>
        </w:rPr>
        <w:t xml:space="preserve">The </w:t>
      </w:r>
      <w:r w:rsidR="00BF3371">
        <w:rPr>
          <w:rFonts w:eastAsia="Times New Roman"/>
          <w:bCs/>
          <w:color w:val="000000"/>
          <w:sz w:val="28"/>
        </w:rPr>
        <w:t xml:space="preserve">estimated </w:t>
      </w:r>
      <w:r w:rsidRPr="00F259E0">
        <w:rPr>
          <w:rFonts w:eastAsia="Times New Roman"/>
          <w:bCs/>
          <w:color w:val="000000"/>
          <w:sz w:val="28"/>
        </w:rPr>
        <w:t xml:space="preserve">national proration factor from January through </w:t>
      </w:r>
      <w:r w:rsidR="00BB4FC1" w:rsidRPr="00BB4FC1">
        <w:rPr>
          <w:rFonts w:eastAsia="Times New Roman"/>
          <w:bCs/>
          <w:color w:val="000000"/>
          <w:sz w:val="28"/>
        </w:rPr>
        <w:t>March</w:t>
      </w:r>
      <w:r w:rsidR="00F259E0" w:rsidRPr="00BB4FC1">
        <w:rPr>
          <w:rFonts w:eastAsia="Times New Roman"/>
          <w:bCs/>
          <w:color w:val="000000"/>
          <w:sz w:val="28"/>
        </w:rPr>
        <w:t xml:space="preserve"> 202</w:t>
      </w:r>
      <w:r w:rsidR="00AD323F" w:rsidRPr="00BB4FC1">
        <w:rPr>
          <w:rFonts w:eastAsia="Times New Roman"/>
          <w:bCs/>
          <w:color w:val="000000"/>
          <w:sz w:val="28"/>
        </w:rPr>
        <w:t>1</w:t>
      </w:r>
      <w:r w:rsidRPr="00BB4FC1">
        <w:rPr>
          <w:rFonts w:eastAsia="Times New Roman"/>
          <w:bCs/>
          <w:color w:val="000000"/>
          <w:sz w:val="28"/>
        </w:rPr>
        <w:t xml:space="preserve"> was </w:t>
      </w:r>
      <w:r w:rsidR="00BB4FC1" w:rsidRPr="00BB4FC1">
        <w:rPr>
          <w:rFonts w:eastAsia="Times New Roman"/>
          <w:bCs/>
          <w:color w:val="000000"/>
          <w:sz w:val="28"/>
        </w:rPr>
        <w:t>80</w:t>
      </w:r>
      <w:r w:rsidR="00F259E0" w:rsidRPr="00BB4FC1">
        <w:rPr>
          <w:rFonts w:eastAsia="Times New Roman"/>
          <w:bCs/>
          <w:color w:val="000000"/>
          <w:sz w:val="28"/>
        </w:rPr>
        <w:t>%</w:t>
      </w:r>
      <w:r w:rsidR="00BB4FC1" w:rsidRPr="00BB4FC1">
        <w:rPr>
          <w:rFonts w:eastAsia="Times New Roman"/>
          <w:bCs/>
          <w:color w:val="000000"/>
          <w:sz w:val="28"/>
        </w:rPr>
        <w:t xml:space="preserve"> and 82% for April through May 2021.</w:t>
      </w:r>
      <w:r w:rsidR="00F259E0" w:rsidRPr="00BB4FC1">
        <w:rPr>
          <w:rFonts w:eastAsia="Times New Roman"/>
          <w:b/>
          <w:color w:val="000000"/>
          <w:sz w:val="28"/>
        </w:rPr>
        <w:t xml:space="preserve">  </w:t>
      </w:r>
      <w:r w:rsidR="004439EC" w:rsidRPr="00BB4FC1">
        <w:rPr>
          <w:rFonts w:eastAsia="Times New Roman"/>
          <w:b/>
          <w:color w:val="000000"/>
          <w:sz w:val="28"/>
        </w:rPr>
        <w:t>The estimated national proration factor, f</w:t>
      </w:r>
      <w:r w:rsidR="00F259E0" w:rsidRPr="00BB4FC1">
        <w:rPr>
          <w:rFonts w:eastAsia="Times New Roman"/>
          <w:b/>
          <w:color w:val="000000"/>
          <w:sz w:val="28"/>
        </w:rPr>
        <w:t>or</w:t>
      </w:r>
      <w:r w:rsidR="004439EC" w:rsidRPr="00BB4FC1">
        <w:rPr>
          <w:rFonts w:eastAsia="Times New Roman"/>
          <w:b/>
          <w:color w:val="000000"/>
          <w:sz w:val="28"/>
        </w:rPr>
        <w:t xml:space="preserve"> J</w:t>
      </w:r>
      <w:r w:rsidR="00F259E0" w:rsidRPr="00BB4FC1">
        <w:rPr>
          <w:rFonts w:eastAsia="Times New Roman"/>
          <w:b/>
          <w:color w:val="000000"/>
          <w:sz w:val="28"/>
        </w:rPr>
        <w:t>une through October 202</w:t>
      </w:r>
      <w:r w:rsidR="00AD323F" w:rsidRPr="00BB4FC1">
        <w:rPr>
          <w:rFonts w:eastAsia="Times New Roman"/>
          <w:b/>
          <w:color w:val="000000"/>
          <w:sz w:val="28"/>
        </w:rPr>
        <w:t>1</w:t>
      </w:r>
      <w:r w:rsidR="00F259E0" w:rsidRPr="00BB4FC1">
        <w:rPr>
          <w:rFonts w:eastAsia="Times New Roman"/>
          <w:b/>
          <w:color w:val="000000"/>
          <w:sz w:val="28"/>
        </w:rPr>
        <w:t xml:space="preserve"> is </w:t>
      </w:r>
      <w:r w:rsidR="00F259E0" w:rsidRPr="00BB4FC1">
        <w:rPr>
          <w:rFonts w:eastAsia="Times New Roman"/>
          <w:b/>
          <w:color w:val="000000"/>
          <w:sz w:val="28"/>
          <w:u w:val="single"/>
        </w:rPr>
        <w:t>8</w:t>
      </w:r>
      <w:r w:rsidR="00BB4FC1" w:rsidRPr="00BB4FC1">
        <w:rPr>
          <w:rFonts w:eastAsia="Times New Roman"/>
          <w:b/>
          <w:color w:val="000000"/>
          <w:sz w:val="28"/>
          <w:u w:val="single"/>
        </w:rPr>
        <w:t>2</w:t>
      </w:r>
      <w:r w:rsidR="004439EC" w:rsidRPr="00BB4FC1">
        <w:rPr>
          <w:rFonts w:eastAsia="Times New Roman"/>
          <w:b/>
          <w:color w:val="000000"/>
          <w:sz w:val="28"/>
          <w:u w:val="single"/>
        </w:rPr>
        <w:t>%</w:t>
      </w:r>
      <w:r w:rsidR="004439EC" w:rsidRPr="00BB4FC1">
        <w:rPr>
          <w:rFonts w:eastAsia="Times New Roman"/>
          <w:b/>
          <w:color w:val="000000"/>
          <w:sz w:val="28"/>
        </w:rPr>
        <w:t>.</w:t>
      </w:r>
    </w:p>
    <w:bookmarkEnd w:id="0"/>
    <w:p w14:paraId="07B8F934" w14:textId="2BF16176" w:rsidR="003B3A46" w:rsidRDefault="004439EC" w:rsidP="00777B66">
      <w:pPr>
        <w:spacing w:before="265" w:line="323" w:lineRule="exact"/>
        <w:ind w:left="692" w:right="193" w:firstLine="792"/>
        <w:textAlignment w:val="baseline"/>
        <w:rPr>
          <w:rFonts w:eastAsia="Times New Roman"/>
          <w:color w:val="000000"/>
          <w:sz w:val="28"/>
        </w:rPr>
      </w:pPr>
      <w:r w:rsidRPr="00BB4FC1">
        <w:rPr>
          <w:rFonts w:eastAsia="Times New Roman"/>
          <w:color w:val="000000"/>
          <w:sz w:val="28"/>
        </w:rPr>
        <w:t>The proration factor will change at least</w:t>
      </w:r>
      <w:r>
        <w:rPr>
          <w:rFonts w:eastAsia="Times New Roman"/>
          <w:color w:val="000000"/>
          <w:sz w:val="28"/>
        </w:rPr>
        <w:t xml:space="preserve"> twice throughout the year, so please set this page in your “Favorites” for easy access, as this page will be updated</w:t>
      </w:r>
      <w:r w:rsidR="00777B66">
        <w:rPr>
          <w:rFonts w:eastAsia="Times New Roman"/>
          <w:color w:val="000000"/>
          <w:sz w:val="28"/>
        </w:rPr>
        <w:t xml:space="preserve"> </w:t>
      </w:r>
      <w:r>
        <w:rPr>
          <w:rFonts w:eastAsia="Times New Roman"/>
          <w:color w:val="000000"/>
          <w:sz w:val="28"/>
        </w:rPr>
        <w:t>accordingly. Additionally, HUD will send an alert via email to all PHAs every time the factor changes for your convenience. Note that changes may occur due to leasing trend changes, or incremental funding from carryover or recaptures reprogrammed to the administrative fee account.</w:t>
      </w:r>
    </w:p>
    <w:p w14:paraId="07B8F935" w14:textId="68804B98" w:rsidR="003B3A46" w:rsidRDefault="004439EC">
      <w:pPr>
        <w:spacing w:before="313" w:line="321" w:lineRule="exact"/>
        <w:ind w:left="692" w:right="49" w:firstLine="792"/>
        <w:textAlignment w:val="baseline"/>
        <w:rPr>
          <w:rFonts w:eastAsia="Times New Roman"/>
          <w:color w:val="000000"/>
          <w:sz w:val="28"/>
        </w:rPr>
      </w:pPr>
      <w:r>
        <w:rPr>
          <w:rFonts w:eastAsia="Times New Roman"/>
          <w:color w:val="000000"/>
          <w:sz w:val="28"/>
        </w:rPr>
        <w:t xml:space="preserve">The following table has an example of the calculation, based on a Column B rate of $60.59 for the </w:t>
      </w:r>
      <w:r w:rsidR="004612EA">
        <w:rPr>
          <w:rFonts w:eastAsia="Times New Roman"/>
          <w:color w:val="000000"/>
          <w:sz w:val="28"/>
        </w:rPr>
        <w:t>initial</w:t>
      </w:r>
      <w:r>
        <w:rPr>
          <w:rFonts w:eastAsia="Times New Roman"/>
          <w:color w:val="000000"/>
          <w:sz w:val="28"/>
        </w:rPr>
        <w:t xml:space="preserve"> PHA and $42.05 for the </w:t>
      </w:r>
      <w:r w:rsidR="004612EA">
        <w:rPr>
          <w:rFonts w:eastAsia="Times New Roman"/>
          <w:color w:val="000000"/>
          <w:sz w:val="28"/>
        </w:rPr>
        <w:t>receiving</w:t>
      </w:r>
      <w:r>
        <w:rPr>
          <w:rFonts w:eastAsia="Times New Roman"/>
          <w:color w:val="000000"/>
          <w:sz w:val="28"/>
        </w:rPr>
        <w:t xml:space="preserve"> PHA and assumes a proration at </w:t>
      </w:r>
      <w:r w:rsidR="00371BCC">
        <w:rPr>
          <w:rFonts w:eastAsia="Times New Roman"/>
          <w:color w:val="000000"/>
          <w:sz w:val="28"/>
        </w:rPr>
        <w:t>8</w:t>
      </w:r>
      <w:r w:rsidR="00740744">
        <w:rPr>
          <w:rFonts w:eastAsia="Times New Roman"/>
          <w:color w:val="000000"/>
          <w:sz w:val="28"/>
        </w:rPr>
        <w:t>2</w:t>
      </w:r>
      <w:r>
        <w:rPr>
          <w:rFonts w:eastAsia="Times New Roman"/>
          <w:color w:val="000000"/>
          <w:sz w:val="28"/>
        </w:rPr>
        <w:t>%; however, this proration is just an example</w:t>
      </w:r>
      <w:r w:rsidR="004612EA">
        <w:rPr>
          <w:rFonts w:eastAsia="Times New Roman"/>
          <w:color w:val="000000"/>
          <w:sz w:val="28"/>
        </w:rPr>
        <w:t>.</w:t>
      </w:r>
      <w:r>
        <w:rPr>
          <w:rFonts w:eastAsia="Times New Roman"/>
          <w:color w:val="000000"/>
          <w:sz w:val="28"/>
        </w:rPr>
        <w:t xml:space="preserve"> HUD’s recommendation is to apply the proration for billing purposes prospectively, considering the date your housing agency receives the change in proration announcement.</w:t>
      </w:r>
    </w:p>
    <w:p w14:paraId="38914D3D" w14:textId="77777777" w:rsidR="00371BCC" w:rsidRDefault="004612EA">
      <w:pPr>
        <w:spacing w:before="312"/>
        <w:ind w:left="1939" w:right="1854"/>
        <w:textAlignment w:val="baseline"/>
      </w:pPr>
      <w:r>
        <w:rPr>
          <w:noProof/>
        </w:rPr>
        <mc:AlternateContent>
          <mc:Choice Requires="wps">
            <w:drawing>
              <wp:anchor distT="0" distB="0" distL="0" distR="0" simplePos="0" relativeHeight="251656704" behindDoc="1" locked="0" layoutInCell="1" allowOverlap="1" wp14:anchorId="07B8F93B" wp14:editId="04487BC2">
                <wp:simplePos x="0" y="0"/>
                <wp:positionH relativeFrom="page">
                  <wp:posOffset>7411085</wp:posOffset>
                </wp:positionH>
                <wp:positionV relativeFrom="page">
                  <wp:posOffset>9714865</wp:posOffset>
                </wp:positionV>
                <wp:extent cx="80010" cy="13716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F942" w14:textId="77777777" w:rsidR="003B3A46" w:rsidRDefault="004439EC">
                            <w:pPr>
                              <w:spacing w:before="13" w:line="188" w:lineRule="exact"/>
                              <w:textAlignment w:val="baseline"/>
                              <w:rPr>
                                <w:rFonts w:eastAsia="Times New Roman"/>
                                <w:color w:val="000000"/>
                                <w:sz w:val="20"/>
                              </w:rPr>
                            </w:pPr>
                            <w:r>
                              <w:rPr>
                                <w:rFonts w:eastAsia="Times New Roman"/>
                                <w:color w:val="00000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F93B" id="Text Box 5" o:spid="_x0000_s1027" type="#_x0000_t202" style="position:absolute;left:0;text-align:left;margin-left:583.55pt;margin-top:764.95pt;width:6.3pt;height:10.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" filled="f" stroked="f">
                <v:textbox inset="0,0,0,0">
                  <w:txbxContent>
                    <w:p w14:paraId="07B8F942" w14:textId="77777777" w:rsidR="003B3A46" w:rsidRDefault="004439EC">
                      <w:pPr>
                        <w:spacing w:before="13" w:line="188" w:lineRule="exact"/>
                        <w:textAlignment w:val="baseline"/>
                        <w:rPr>
                          <w:rFonts w:eastAsia="Times New Roman"/>
                          <w:color w:val="000000"/>
                          <w:sz w:val="20"/>
                        </w:rPr>
                      </w:pPr>
                      <w:r>
                        <w:rPr>
                          <w:rFonts w:eastAsia="Times New Roman"/>
                          <w:color w:val="000000"/>
                          <w:sz w:val="20"/>
                        </w:rPr>
                        <w:t>1</w:t>
                      </w:r>
                    </w:p>
                  </w:txbxContent>
                </v:textbox>
                <w10:wrap type="square" anchorx="page" anchory="page"/>
              </v:shape>
            </w:pict>
          </mc:Fallback>
        </mc:AlternateContent>
      </w:r>
    </w:p>
    <w:tbl>
      <w:tblPr>
        <w:tblW w:w="6930" w:type="dxa"/>
        <w:tblInd w:w="1896" w:type="dxa"/>
        <w:tblLook w:val="04A0" w:firstRow="1" w:lastRow="0" w:firstColumn="1" w:lastColumn="0" w:noHBand="0" w:noVBand="1"/>
      </w:tblPr>
      <w:tblGrid>
        <w:gridCol w:w="2725"/>
        <w:gridCol w:w="276"/>
        <w:gridCol w:w="3929"/>
      </w:tblGrid>
      <w:tr w:rsidR="00371BCC" w14:paraId="62B7AF10" w14:textId="77777777" w:rsidTr="00371BCC">
        <w:trPr>
          <w:trHeight w:val="330"/>
        </w:trPr>
        <w:tc>
          <w:tcPr>
            <w:tcW w:w="3001" w:type="dxa"/>
            <w:gridSpan w:val="2"/>
            <w:tcBorders>
              <w:top w:val="single" w:sz="8" w:space="0" w:color="auto"/>
              <w:left w:val="single" w:sz="8" w:space="0" w:color="auto"/>
              <w:bottom w:val="single" w:sz="8" w:space="0" w:color="auto"/>
              <w:right w:val="single" w:sz="8" w:space="0" w:color="000000"/>
            </w:tcBorders>
            <w:vAlign w:val="center"/>
            <w:hideMark/>
          </w:tcPr>
          <w:p w14:paraId="394CFA4C" w14:textId="77777777" w:rsidR="00371BCC" w:rsidRDefault="00371BCC">
            <w:pPr>
              <w:spacing w:line="256"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PHA A (initial PHA)</w:t>
            </w:r>
          </w:p>
        </w:tc>
        <w:tc>
          <w:tcPr>
            <w:tcW w:w="3929" w:type="dxa"/>
            <w:tcBorders>
              <w:top w:val="single" w:sz="8" w:space="0" w:color="auto"/>
              <w:left w:val="nil"/>
              <w:bottom w:val="single" w:sz="8" w:space="0" w:color="auto"/>
              <w:right w:val="single" w:sz="8" w:space="0" w:color="000000"/>
            </w:tcBorders>
            <w:vAlign w:val="center"/>
            <w:hideMark/>
          </w:tcPr>
          <w:p w14:paraId="592B06FB" w14:textId="47A3B95E" w:rsidR="00371BCC" w:rsidRDefault="00371BCC">
            <w:pPr>
              <w:spacing w:line="256"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Column B Rate x 0.8</w:t>
            </w:r>
            <w:r w:rsidR="00C95CC9">
              <w:rPr>
                <w:rFonts w:ascii="Calibri" w:eastAsia="Times New Roman" w:hAnsi="Calibri" w:cs="Calibri"/>
                <w:b/>
                <w:bCs/>
                <w:color w:val="000000"/>
                <w:sz w:val="24"/>
                <w:szCs w:val="24"/>
              </w:rPr>
              <w:t>0</w:t>
            </w:r>
          </w:p>
        </w:tc>
      </w:tr>
      <w:tr w:rsidR="00371BCC" w14:paraId="47982E0B" w14:textId="77777777" w:rsidTr="00371BCC">
        <w:trPr>
          <w:trHeight w:hRule="exact" w:val="315"/>
        </w:trPr>
        <w:tc>
          <w:tcPr>
            <w:tcW w:w="2725" w:type="dxa"/>
            <w:tcBorders>
              <w:top w:val="nil"/>
              <w:left w:val="single" w:sz="8" w:space="0" w:color="auto"/>
              <w:bottom w:val="single" w:sz="8" w:space="0" w:color="auto"/>
              <w:right w:val="nil"/>
            </w:tcBorders>
            <w:vAlign w:val="center"/>
            <w:hideMark/>
          </w:tcPr>
          <w:p w14:paraId="3BC3D786" w14:textId="77777777" w:rsidR="00371BCC" w:rsidRDefault="00371BCC">
            <w:pPr>
              <w:spacing w:line="256" w:lineRule="auto"/>
              <w:rPr>
                <w:rFonts w:eastAsia="Times New Roman"/>
                <w:color w:val="000000"/>
                <w:sz w:val="24"/>
                <w:szCs w:val="24"/>
              </w:rPr>
            </w:pPr>
            <w:r>
              <w:rPr>
                <w:rFonts w:eastAsia="Times New Roman"/>
                <w:color w:val="000000"/>
                <w:sz w:val="24"/>
                <w:szCs w:val="24"/>
              </w:rPr>
              <w:t> </w:t>
            </w:r>
          </w:p>
        </w:tc>
        <w:tc>
          <w:tcPr>
            <w:tcW w:w="276" w:type="dxa"/>
            <w:tcBorders>
              <w:top w:val="nil"/>
              <w:left w:val="nil"/>
              <w:bottom w:val="single" w:sz="8" w:space="0" w:color="auto"/>
              <w:right w:val="single" w:sz="8" w:space="0" w:color="auto"/>
            </w:tcBorders>
            <w:vAlign w:val="center"/>
            <w:hideMark/>
          </w:tcPr>
          <w:p w14:paraId="632FF9EF" w14:textId="77777777" w:rsidR="00371BCC" w:rsidRDefault="00371BCC">
            <w:pPr>
              <w:spacing w:line="256" w:lineRule="auto"/>
              <w:rPr>
                <w:rFonts w:eastAsia="Times New Roman"/>
                <w:color w:val="000000"/>
                <w:sz w:val="24"/>
                <w:szCs w:val="24"/>
              </w:rPr>
            </w:pPr>
            <w:r>
              <w:rPr>
                <w:rFonts w:eastAsia="Times New Roman"/>
                <w:color w:val="000000"/>
                <w:sz w:val="24"/>
                <w:szCs w:val="24"/>
              </w:rPr>
              <w:t> </w:t>
            </w:r>
          </w:p>
        </w:tc>
        <w:tc>
          <w:tcPr>
            <w:tcW w:w="3929" w:type="dxa"/>
            <w:tcBorders>
              <w:top w:val="single" w:sz="8" w:space="0" w:color="auto"/>
              <w:left w:val="nil"/>
              <w:bottom w:val="single" w:sz="8" w:space="0" w:color="auto"/>
              <w:right w:val="single" w:sz="8" w:space="0" w:color="000000"/>
            </w:tcBorders>
            <w:vAlign w:val="center"/>
            <w:hideMark/>
          </w:tcPr>
          <w:p w14:paraId="42941FE3" w14:textId="77777777" w:rsidR="00371BCC" w:rsidRDefault="00371BCC">
            <w:pPr>
              <w:spacing w:line="256" w:lineRule="auto"/>
              <w:rPr>
                <w:rFonts w:ascii="Calibri" w:eastAsia="Times New Roman" w:hAnsi="Calibri" w:cs="Calibri"/>
                <w:b/>
                <w:bCs/>
                <w:color w:val="000000"/>
                <w:sz w:val="23"/>
                <w:szCs w:val="23"/>
              </w:rPr>
            </w:pPr>
            <w:r>
              <w:rPr>
                <w:rFonts w:ascii="Calibri" w:eastAsia="Times New Roman" w:hAnsi="Calibri" w:cs="Calibri"/>
                <w:b/>
                <w:bCs/>
                <w:color w:val="000000"/>
                <w:sz w:val="23"/>
                <w:szCs w:val="23"/>
              </w:rPr>
              <w:t>$ 60.59 x 0.80 = $48.47</w:t>
            </w:r>
          </w:p>
        </w:tc>
      </w:tr>
      <w:tr w:rsidR="00371BCC" w14:paraId="76D19A87" w14:textId="77777777" w:rsidTr="00371BCC">
        <w:trPr>
          <w:trHeight w:val="263"/>
        </w:trPr>
        <w:tc>
          <w:tcPr>
            <w:tcW w:w="6930" w:type="dxa"/>
            <w:gridSpan w:val="3"/>
            <w:tcBorders>
              <w:top w:val="single" w:sz="8" w:space="0" w:color="auto"/>
              <w:left w:val="single" w:sz="8" w:space="0" w:color="auto"/>
              <w:bottom w:val="single" w:sz="8" w:space="0" w:color="auto"/>
              <w:right w:val="single" w:sz="8" w:space="0" w:color="000000"/>
            </w:tcBorders>
            <w:shd w:val="clear" w:color="auto" w:fill="A6A6A6"/>
            <w:vAlign w:val="center"/>
            <w:hideMark/>
          </w:tcPr>
          <w:p w14:paraId="342B2906" w14:textId="77777777" w:rsidR="00371BCC" w:rsidRDefault="00371BCC">
            <w:pPr>
              <w:spacing w:line="256" w:lineRule="auto"/>
              <w:rPr>
                <w:rFonts w:eastAsia="Times New Roman"/>
                <w:color w:val="000000"/>
                <w:sz w:val="24"/>
                <w:szCs w:val="24"/>
              </w:rPr>
            </w:pPr>
            <w:r>
              <w:rPr>
                <w:rFonts w:eastAsia="Times New Roman"/>
                <w:color w:val="000000"/>
                <w:sz w:val="24"/>
                <w:szCs w:val="24"/>
              </w:rPr>
              <w:t> </w:t>
            </w:r>
          </w:p>
        </w:tc>
      </w:tr>
      <w:tr w:rsidR="00371BCC" w14:paraId="629A400D" w14:textId="77777777" w:rsidTr="00371BCC">
        <w:trPr>
          <w:trHeight w:hRule="exact" w:val="330"/>
        </w:trPr>
        <w:tc>
          <w:tcPr>
            <w:tcW w:w="3001" w:type="dxa"/>
            <w:gridSpan w:val="2"/>
            <w:tcBorders>
              <w:top w:val="single" w:sz="8" w:space="0" w:color="auto"/>
              <w:left w:val="single" w:sz="8" w:space="0" w:color="auto"/>
              <w:bottom w:val="single" w:sz="8" w:space="0" w:color="auto"/>
              <w:right w:val="single" w:sz="8" w:space="0" w:color="000000"/>
            </w:tcBorders>
            <w:vAlign w:val="center"/>
            <w:hideMark/>
          </w:tcPr>
          <w:p w14:paraId="62221498" w14:textId="77777777" w:rsidR="00371BCC" w:rsidRDefault="00371BCC">
            <w:pPr>
              <w:spacing w:line="256"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PHA B (receiving PHA)</w:t>
            </w:r>
          </w:p>
        </w:tc>
        <w:tc>
          <w:tcPr>
            <w:tcW w:w="3929" w:type="dxa"/>
            <w:tcBorders>
              <w:top w:val="single" w:sz="8" w:space="0" w:color="auto"/>
              <w:left w:val="nil"/>
              <w:bottom w:val="single" w:sz="8" w:space="0" w:color="auto"/>
              <w:right w:val="single" w:sz="8" w:space="0" w:color="000000"/>
            </w:tcBorders>
            <w:vAlign w:val="center"/>
            <w:hideMark/>
          </w:tcPr>
          <w:p w14:paraId="507CE642" w14:textId="77777777" w:rsidR="00371BCC" w:rsidRDefault="00371BCC">
            <w:pPr>
              <w:spacing w:line="256"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Column B Rate x 1</w:t>
            </w:r>
          </w:p>
        </w:tc>
      </w:tr>
      <w:tr w:rsidR="00371BCC" w14:paraId="1EC93666" w14:textId="77777777" w:rsidTr="00371BCC">
        <w:trPr>
          <w:trHeight w:hRule="exact" w:val="330"/>
        </w:trPr>
        <w:tc>
          <w:tcPr>
            <w:tcW w:w="2725" w:type="dxa"/>
            <w:tcBorders>
              <w:top w:val="nil"/>
              <w:left w:val="single" w:sz="8" w:space="0" w:color="auto"/>
              <w:bottom w:val="single" w:sz="8" w:space="0" w:color="auto"/>
              <w:right w:val="nil"/>
            </w:tcBorders>
            <w:vAlign w:val="center"/>
            <w:hideMark/>
          </w:tcPr>
          <w:p w14:paraId="529816E7" w14:textId="77777777" w:rsidR="00371BCC" w:rsidRDefault="00371BCC">
            <w:pPr>
              <w:spacing w:line="256" w:lineRule="auto"/>
              <w:jc w:val="center"/>
              <w:rPr>
                <w:rFonts w:eastAsia="Times New Roman"/>
                <w:color w:val="000000"/>
                <w:sz w:val="24"/>
                <w:szCs w:val="24"/>
              </w:rPr>
            </w:pPr>
            <w:r>
              <w:rPr>
                <w:rFonts w:eastAsia="Times New Roman"/>
                <w:color w:val="000000"/>
                <w:sz w:val="24"/>
                <w:szCs w:val="24"/>
              </w:rPr>
              <w:t> </w:t>
            </w:r>
          </w:p>
        </w:tc>
        <w:tc>
          <w:tcPr>
            <w:tcW w:w="276" w:type="dxa"/>
            <w:tcBorders>
              <w:top w:val="nil"/>
              <w:left w:val="nil"/>
              <w:bottom w:val="single" w:sz="8" w:space="0" w:color="auto"/>
              <w:right w:val="single" w:sz="8" w:space="0" w:color="auto"/>
            </w:tcBorders>
            <w:vAlign w:val="center"/>
            <w:hideMark/>
          </w:tcPr>
          <w:p w14:paraId="2FB37024" w14:textId="77777777" w:rsidR="00371BCC" w:rsidRDefault="00371BCC">
            <w:pPr>
              <w:spacing w:line="256" w:lineRule="auto"/>
              <w:rPr>
                <w:rFonts w:eastAsia="Times New Roman"/>
                <w:color w:val="000000"/>
                <w:sz w:val="24"/>
                <w:szCs w:val="24"/>
              </w:rPr>
            </w:pPr>
            <w:r>
              <w:rPr>
                <w:rFonts w:eastAsia="Times New Roman"/>
                <w:color w:val="000000"/>
                <w:sz w:val="24"/>
                <w:szCs w:val="24"/>
              </w:rPr>
              <w:t> </w:t>
            </w:r>
          </w:p>
        </w:tc>
        <w:tc>
          <w:tcPr>
            <w:tcW w:w="3929" w:type="dxa"/>
            <w:tcBorders>
              <w:top w:val="single" w:sz="8" w:space="0" w:color="auto"/>
              <w:left w:val="nil"/>
              <w:bottom w:val="single" w:sz="8" w:space="0" w:color="auto"/>
              <w:right w:val="single" w:sz="8" w:space="0" w:color="000000"/>
            </w:tcBorders>
            <w:vAlign w:val="center"/>
            <w:hideMark/>
          </w:tcPr>
          <w:p w14:paraId="11E1CEDA" w14:textId="77777777" w:rsidR="00371BCC" w:rsidRDefault="00371BCC">
            <w:pPr>
              <w:spacing w:line="256" w:lineRule="auto"/>
              <w:rPr>
                <w:rFonts w:ascii="Calibri" w:eastAsia="Times New Roman" w:hAnsi="Calibri" w:cs="Calibri"/>
                <w:b/>
                <w:bCs/>
                <w:color w:val="000000"/>
                <w:sz w:val="23"/>
                <w:szCs w:val="23"/>
              </w:rPr>
            </w:pPr>
            <w:r>
              <w:rPr>
                <w:rFonts w:ascii="Calibri" w:eastAsia="Times New Roman" w:hAnsi="Calibri" w:cs="Calibri"/>
                <w:b/>
                <w:bCs/>
                <w:color w:val="000000"/>
                <w:sz w:val="23"/>
                <w:szCs w:val="23"/>
              </w:rPr>
              <w:t>$ 42.05 x 1 = $42.05</w:t>
            </w:r>
          </w:p>
        </w:tc>
      </w:tr>
      <w:tr w:rsidR="00371BCC" w14:paraId="1E596769" w14:textId="77777777" w:rsidTr="00371BCC">
        <w:trPr>
          <w:trHeight w:val="223"/>
        </w:trPr>
        <w:tc>
          <w:tcPr>
            <w:tcW w:w="6930" w:type="dxa"/>
            <w:gridSpan w:val="3"/>
            <w:tcBorders>
              <w:top w:val="single" w:sz="8" w:space="0" w:color="auto"/>
              <w:left w:val="single" w:sz="8" w:space="0" w:color="auto"/>
              <w:bottom w:val="single" w:sz="8" w:space="0" w:color="auto"/>
              <w:right w:val="single" w:sz="8" w:space="0" w:color="000000"/>
            </w:tcBorders>
            <w:shd w:val="clear" w:color="auto" w:fill="A6A6A6"/>
            <w:vAlign w:val="center"/>
            <w:hideMark/>
          </w:tcPr>
          <w:p w14:paraId="2838992F" w14:textId="77777777" w:rsidR="00371BCC" w:rsidRDefault="00371BCC">
            <w:pPr>
              <w:spacing w:line="256" w:lineRule="auto"/>
              <w:rPr>
                <w:rFonts w:eastAsia="Times New Roman"/>
                <w:color w:val="000000"/>
                <w:sz w:val="24"/>
                <w:szCs w:val="24"/>
              </w:rPr>
            </w:pPr>
            <w:r>
              <w:rPr>
                <w:rFonts w:eastAsia="Times New Roman"/>
                <w:color w:val="000000"/>
                <w:sz w:val="24"/>
                <w:szCs w:val="24"/>
              </w:rPr>
              <w:t> </w:t>
            </w:r>
          </w:p>
        </w:tc>
      </w:tr>
      <w:tr w:rsidR="00371BCC" w14:paraId="5ABCDC9B" w14:textId="77777777" w:rsidTr="00371BCC">
        <w:trPr>
          <w:trHeight w:val="353"/>
        </w:trPr>
        <w:tc>
          <w:tcPr>
            <w:tcW w:w="6930" w:type="dxa"/>
            <w:gridSpan w:val="3"/>
            <w:tcBorders>
              <w:top w:val="single" w:sz="8" w:space="0" w:color="auto"/>
              <w:left w:val="single" w:sz="8" w:space="0" w:color="auto"/>
              <w:bottom w:val="single" w:sz="8" w:space="0" w:color="auto"/>
              <w:right w:val="single" w:sz="8" w:space="0" w:color="000000"/>
            </w:tcBorders>
            <w:vAlign w:val="center"/>
            <w:hideMark/>
          </w:tcPr>
          <w:p w14:paraId="66E0D79F" w14:textId="77777777" w:rsidR="00371BCC" w:rsidRDefault="00371BCC">
            <w:pPr>
              <w:spacing w:line="256" w:lineRule="auto"/>
              <w:jc w:val="center"/>
              <w:rPr>
                <w:rFonts w:ascii="Calibri" w:eastAsia="Times New Roman" w:hAnsi="Calibri" w:cs="Calibri"/>
                <w:b/>
                <w:bCs/>
                <w:i/>
                <w:iCs/>
                <w:color w:val="000000"/>
                <w:sz w:val="24"/>
                <w:szCs w:val="24"/>
              </w:rPr>
            </w:pPr>
            <w:r>
              <w:rPr>
                <w:rFonts w:ascii="Calibri" w:eastAsia="Times New Roman" w:hAnsi="Calibri" w:cs="Calibri"/>
                <w:b/>
                <w:bCs/>
                <w:i/>
                <w:iCs/>
                <w:color w:val="000000"/>
                <w:sz w:val="24"/>
                <w:szCs w:val="24"/>
              </w:rPr>
              <w:t>The lower rate in this example is the receiving PHAs $42.05</w:t>
            </w:r>
          </w:p>
        </w:tc>
      </w:tr>
      <w:tr w:rsidR="00371BCC" w14:paraId="247E3099" w14:textId="77777777" w:rsidTr="00371BCC">
        <w:trPr>
          <w:trHeight w:val="330"/>
        </w:trPr>
        <w:tc>
          <w:tcPr>
            <w:tcW w:w="6930" w:type="dxa"/>
            <w:gridSpan w:val="3"/>
            <w:tcBorders>
              <w:top w:val="single" w:sz="8" w:space="0" w:color="auto"/>
              <w:left w:val="single" w:sz="8" w:space="0" w:color="auto"/>
              <w:bottom w:val="single" w:sz="8" w:space="0" w:color="auto"/>
              <w:right w:val="single" w:sz="8" w:space="0" w:color="000000"/>
            </w:tcBorders>
            <w:shd w:val="clear" w:color="auto" w:fill="A6A6A6"/>
            <w:vAlign w:val="center"/>
            <w:hideMark/>
          </w:tcPr>
          <w:p w14:paraId="1A680B17" w14:textId="77777777" w:rsidR="00371BCC" w:rsidRDefault="00371BCC">
            <w:pPr>
              <w:spacing w:line="256" w:lineRule="auto"/>
              <w:rPr>
                <w:rFonts w:eastAsia="Times New Roman"/>
                <w:color w:val="000000"/>
                <w:sz w:val="24"/>
                <w:szCs w:val="24"/>
              </w:rPr>
            </w:pPr>
            <w:r>
              <w:rPr>
                <w:rFonts w:eastAsia="Times New Roman"/>
                <w:color w:val="000000"/>
                <w:sz w:val="24"/>
                <w:szCs w:val="24"/>
              </w:rPr>
              <w:t> </w:t>
            </w:r>
          </w:p>
        </w:tc>
      </w:tr>
      <w:tr w:rsidR="00371BCC" w14:paraId="76C68B97" w14:textId="77777777" w:rsidTr="00371BCC">
        <w:trPr>
          <w:trHeight w:hRule="exact" w:val="650"/>
        </w:trPr>
        <w:tc>
          <w:tcPr>
            <w:tcW w:w="3001" w:type="dxa"/>
            <w:gridSpan w:val="2"/>
            <w:tcBorders>
              <w:top w:val="single" w:sz="8" w:space="0" w:color="auto"/>
              <w:left w:val="single" w:sz="8" w:space="0" w:color="auto"/>
              <w:bottom w:val="single" w:sz="8" w:space="0" w:color="auto"/>
              <w:right w:val="nil"/>
            </w:tcBorders>
            <w:vAlign w:val="center"/>
            <w:hideMark/>
          </w:tcPr>
          <w:p w14:paraId="181B1CC0" w14:textId="77777777" w:rsidR="00371BCC" w:rsidRDefault="00371BCC">
            <w:pPr>
              <w:spacing w:line="256" w:lineRule="auto"/>
              <w:jc w:val="center"/>
              <w:rPr>
                <w:rFonts w:ascii="Calibri" w:eastAsia="Times New Roman" w:hAnsi="Calibri" w:cs="Calibri"/>
                <w:b/>
                <w:bCs/>
                <w:i/>
                <w:iCs/>
                <w:color w:val="000000"/>
                <w:sz w:val="24"/>
                <w:szCs w:val="24"/>
              </w:rPr>
            </w:pPr>
            <w:r>
              <w:rPr>
                <w:rFonts w:ascii="Calibri" w:eastAsia="Times New Roman" w:hAnsi="Calibri" w:cs="Calibri"/>
                <w:b/>
                <w:bCs/>
                <w:i/>
                <w:iCs/>
                <w:color w:val="000000"/>
                <w:sz w:val="24"/>
                <w:szCs w:val="24"/>
              </w:rPr>
              <w:t>Lower Rate x the current national proration</w:t>
            </w:r>
          </w:p>
        </w:tc>
        <w:tc>
          <w:tcPr>
            <w:tcW w:w="3929" w:type="dxa"/>
            <w:tcBorders>
              <w:top w:val="single" w:sz="8" w:space="0" w:color="auto"/>
              <w:left w:val="single" w:sz="8" w:space="0" w:color="auto"/>
              <w:bottom w:val="single" w:sz="8" w:space="0" w:color="auto"/>
              <w:right w:val="single" w:sz="8" w:space="0" w:color="000000"/>
            </w:tcBorders>
            <w:vAlign w:val="center"/>
            <w:hideMark/>
          </w:tcPr>
          <w:p w14:paraId="632AA9F2" w14:textId="0ACF40DD" w:rsidR="00371BCC" w:rsidRDefault="00371BCC">
            <w:pPr>
              <w:spacing w:line="256" w:lineRule="auto"/>
              <w:jc w:val="center"/>
              <w:rPr>
                <w:rFonts w:ascii="Calibri" w:eastAsia="Times New Roman" w:hAnsi="Calibri" w:cs="Calibri"/>
                <w:b/>
                <w:bCs/>
                <w:i/>
                <w:iCs/>
                <w:color w:val="000000"/>
                <w:sz w:val="24"/>
                <w:szCs w:val="24"/>
              </w:rPr>
            </w:pPr>
            <w:r>
              <w:rPr>
                <w:rFonts w:ascii="Calibri" w:eastAsia="Times New Roman" w:hAnsi="Calibri" w:cs="Calibri"/>
                <w:b/>
                <w:bCs/>
                <w:i/>
                <w:iCs/>
                <w:color w:val="000000"/>
                <w:sz w:val="24"/>
                <w:szCs w:val="24"/>
              </w:rPr>
              <w:t>$42.05 x 0.8</w:t>
            </w:r>
            <w:r w:rsidR="00867943">
              <w:rPr>
                <w:rFonts w:ascii="Calibri" w:eastAsia="Times New Roman" w:hAnsi="Calibri" w:cs="Calibri"/>
                <w:b/>
                <w:bCs/>
                <w:i/>
                <w:iCs/>
                <w:color w:val="000000"/>
                <w:sz w:val="24"/>
                <w:szCs w:val="24"/>
              </w:rPr>
              <w:t>2</w:t>
            </w:r>
            <w:r>
              <w:rPr>
                <w:rFonts w:ascii="Calibri" w:eastAsia="Times New Roman" w:hAnsi="Calibri" w:cs="Calibri"/>
                <w:b/>
                <w:bCs/>
                <w:i/>
                <w:iCs/>
                <w:color w:val="000000"/>
                <w:sz w:val="24"/>
                <w:szCs w:val="24"/>
              </w:rPr>
              <w:t xml:space="preserve"> = $34.</w:t>
            </w:r>
            <w:r w:rsidR="00740744">
              <w:rPr>
                <w:rFonts w:ascii="Calibri" w:eastAsia="Times New Roman" w:hAnsi="Calibri" w:cs="Calibri"/>
                <w:b/>
                <w:bCs/>
                <w:i/>
                <w:iCs/>
                <w:color w:val="000000"/>
                <w:sz w:val="24"/>
                <w:szCs w:val="24"/>
              </w:rPr>
              <w:t>48</w:t>
            </w:r>
          </w:p>
        </w:tc>
      </w:tr>
      <w:tr w:rsidR="00371BCC" w14:paraId="4DAD8282" w14:textId="77777777" w:rsidTr="00371BCC">
        <w:trPr>
          <w:trHeight w:val="232"/>
        </w:trPr>
        <w:tc>
          <w:tcPr>
            <w:tcW w:w="6930" w:type="dxa"/>
            <w:gridSpan w:val="3"/>
            <w:tcBorders>
              <w:top w:val="single" w:sz="8" w:space="0" w:color="auto"/>
              <w:left w:val="single" w:sz="8" w:space="0" w:color="auto"/>
              <w:bottom w:val="single" w:sz="8" w:space="0" w:color="auto"/>
              <w:right w:val="single" w:sz="8" w:space="0" w:color="000000"/>
            </w:tcBorders>
            <w:shd w:val="clear" w:color="auto" w:fill="A6A6A6"/>
            <w:vAlign w:val="center"/>
            <w:hideMark/>
          </w:tcPr>
          <w:p w14:paraId="39E62886" w14:textId="77777777" w:rsidR="00371BCC" w:rsidRDefault="00371BCC">
            <w:pPr>
              <w:spacing w:line="256" w:lineRule="auto"/>
              <w:rPr>
                <w:rFonts w:eastAsia="Times New Roman"/>
                <w:color w:val="000000"/>
                <w:sz w:val="24"/>
                <w:szCs w:val="24"/>
              </w:rPr>
            </w:pPr>
            <w:r>
              <w:rPr>
                <w:rFonts w:eastAsia="Times New Roman"/>
                <w:color w:val="000000"/>
                <w:sz w:val="24"/>
                <w:szCs w:val="24"/>
              </w:rPr>
              <w:t> </w:t>
            </w:r>
          </w:p>
        </w:tc>
      </w:tr>
      <w:tr w:rsidR="00371BCC" w14:paraId="55C3FACE" w14:textId="77777777" w:rsidTr="00371BCC">
        <w:trPr>
          <w:trHeight w:val="330"/>
        </w:trPr>
        <w:tc>
          <w:tcPr>
            <w:tcW w:w="6930" w:type="dxa"/>
            <w:gridSpan w:val="3"/>
            <w:tcBorders>
              <w:top w:val="single" w:sz="8" w:space="0" w:color="auto"/>
              <w:left w:val="single" w:sz="8" w:space="0" w:color="auto"/>
              <w:bottom w:val="single" w:sz="8" w:space="0" w:color="auto"/>
              <w:right w:val="single" w:sz="8" w:space="0" w:color="000000"/>
            </w:tcBorders>
            <w:shd w:val="clear" w:color="auto" w:fill="FFFF00"/>
            <w:vAlign w:val="center"/>
            <w:hideMark/>
          </w:tcPr>
          <w:p w14:paraId="1474894D" w14:textId="5A581E08" w:rsidR="00371BCC" w:rsidRDefault="00371BCC">
            <w:pPr>
              <w:spacing w:line="256" w:lineRule="auto"/>
              <w:jc w:val="center"/>
              <w:rPr>
                <w:rFonts w:ascii="Calibri" w:eastAsia="Times New Roman" w:hAnsi="Calibri" w:cs="Calibri"/>
                <w:b/>
                <w:bCs/>
                <w:i/>
                <w:iCs/>
                <w:color w:val="000000"/>
                <w:sz w:val="24"/>
                <w:szCs w:val="24"/>
              </w:rPr>
            </w:pPr>
            <w:r>
              <w:rPr>
                <w:rFonts w:ascii="Calibri" w:eastAsia="Times New Roman" w:hAnsi="Calibri" w:cs="Calibri"/>
                <w:b/>
                <w:bCs/>
                <w:i/>
                <w:iCs/>
                <w:color w:val="000000"/>
                <w:sz w:val="24"/>
                <w:szCs w:val="24"/>
              </w:rPr>
              <w:t>Portability Fee Billing Rate = $34.</w:t>
            </w:r>
            <w:r w:rsidR="00740744">
              <w:rPr>
                <w:rFonts w:ascii="Calibri" w:eastAsia="Times New Roman" w:hAnsi="Calibri" w:cs="Calibri"/>
                <w:b/>
                <w:bCs/>
                <w:i/>
                <w:iCs/>
                <w:color w:val="000000"/>
                <w:sz w:val="24"/>
                <w:szCs w:val="24"/>
              </w:rPr>
              <w:t>48</w:t>
            </w:r>
          </w:p>
        </w:tc>
      </w:tr>
    </w:tbl>
    <w:p w14:paraId="07B8F937" w14:textId="77777777" w:rsidR="003B3A46" w:rsidRDefault="003B3A46">
      <w:pPr>
        <w:sectPr w:rsidR="003B3A46" w:rsidSect="00F259E0">
          <w:pgSz w:w="12240" w:h="15840" w:code="1"/>
          <w:pgMar w:top="547" w:right="691" w:bottom="432" w:left="720" w:header="720" w:footer="576" w:gutter="0"/>
          <w:cols w:space="720"/>
        </w:sectPr>
      </w:pPr>
    </w:p>
    <w:p w14:paraId="07B8F938" w14:textId="787196E6" w:rsidR="003B3A46" w:rsidRDefault="004612EA">
      <w:pPr>
        <w:textAlignment w:val="baseline"/>
        <w:rPr>
          <w:rFonts w:eastAsia="Times New Roman"/>
          <w:color w:val="000000"/>
          <w:sz w:val="24"/>
        </w:rPr>
      </w:pPr>
      <w:r>
        <w:rPr>
          <w:noProof/>
        </w:rPr>
        <w:lastRenderedPageBreak/>
        <mc:AlternateContent>
          <mc:Choice Requires="wps">
            <w:drawing>
              <wp:anchor distT="0" distB="0" distL="0" distR="0" simplePos="0" relativeHeight="251659776" behindDoc="1" locked="0" layoutInCell="1" allowOverlap="1" wp14:anchorId="07B8F940" wp14:editId="704093C3">
                <wp:simplePos x="0" y="0"/>
                <wp:positionH relativeFrom="page">
                  <wp:posOffset>7318375</wp:posOffset>
                </wp:positionH>
                <wp:positionV relativeFrom="page">
                  <wp:posOffset>9638030</wp:posOffset>
                </wp:positionV>
                <wp:extent cx="120015" cy="14541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F946" w14:textId="77777777" w:rsidR="003B3A46" w:rsidRDefault="004439EC">
                            <w:pPr>
                              <w:spacing w:before="4" w:line="217"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F940" id="Text Box 2" o:spid="_x0000_s1028" type="#_x0000_t202" style="position:absolute;margin-left:576.25pt;margin-top:758.9pt;width:9.45pt;height:11.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" filled="f" stroked="f">
                <v:textbox inset="0,0,0,0">
                  <w:txbxContent>
                    <w:p w14:paraId="07B8F946" w14:textId="77777777" w:rsidR="003B3A46" w:rsidRDefault="004439EC">
                      <w:pPr>
                        <w:spacing w:before="4" w:line="217"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r>
        <w:rPr>
          <w:noProof/>
        </w:rPr>
        <mc:AlternateContent>
          <mc:Choice Requires="wps">
            <w:drawing>
              <wp:anchor distT="0" distB="0" distL="0" distR="0" simplePos="0" relativeHeight="251658752" behindDoc="1" locked="0" layoutInCell="1" allowOverlap="1" wp14:anchorId="07B8F93F" wp14:editId="26BF072C">
                <wp:simplePos x="0" y="0"/>
                <wp:positionH relativeFrom="page">
                  <wp:posOffset>478790</wp:posOffset>
                </wp:positionH>
                <wp:positionV relativeFrom="page">
                  <wp:posOffset>307975</wp:posOffset>
                </wp:positionV>
                <wp:extent cx="6839585" cy="92360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9236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8F943" w14:textId="77777777" w:rsidR="003B3A46" w:rsidRDefault="004439EC">
                            <w:pPr>
                              <w:spacing w:before="869" w:line="374" w:lineRule="exact"/>
                              <w:ind w:left="792" w:right="2448" w:firstLine="648"/>
                              <w:textAlignment w:val="baseline"/>
                              <w:rPr>
                                <w:rFonts w:eastAsia="Times New Roman"/>
                                <w:color w:val="000000"/>
                                <w:sz w:val="28"/>
                              </w:rPr>
                            </w:pPr>
                            <w:r>
                              <w:rPr>
                                <w:rFonts w:eastAsia="Times New Roman"/>
                                <w:color w:val="000000"/>
                                <w:sz w:val="28"/>
                              </w:rPr>
                              <w:t>Please note, these portability fee procedures also apply to the Mainstream program.</w:t>
                            </w:r>
                          </w:p>
                          <w:p w14:paraId="07B8F944" w14:textId="77777777" w:rsidR="003B3A46" w:rsidRDefault="004439EC">
                            <w:pPr>
                              <w:spacing w:before="212" w:line="360" w:lineRule="exact"/>
                              <w:ind w:left="792" w:right="1584" w:firstLine="792"/>
                              <w:textAlignment w:val="baseline"/>
                              <w:rPr>
                                <w:rFonts w:eastAsia="Times New Roman"/>
                                <w:color w:val="000000"/>
                                <w:sz w:val="28"/>
                              </w:rPr>
                            </w:pPr>
                            <w:r>
                              <w:rPr>
                                <w:rFonts w:eastAsia="Times New Roman"/>
                                <w:color w:val="000000"/>
                                <w:sz w:val="28"/>
                              </w:rPr>
                              <w:t>If you need further assistance with this narrative, please contact the Financial Management Division at</w:t>
                            </w:r>
                          </w:p>
                          <w:p w14:paraId="07B8F945" w14:textId="77777777" w:rsidR="003B3A46" w:rsidRDefault="003F043E">
                            <w:pPr>
                              <w:spacing w:before="49" w:after="11243" w:line="323" w:lineRule="exact"/>
                              <w:ind w:left="792"/>
                              <w:textAlignment w:val="baseline"/>
                              <w:rPr>
                                <w:rFonts w:eastAsia="Times New Roman"/>
                                <w:color w:val="0562C1"/>
                                <w:sz w:val="28"/>
                                <w:u w:val="single"/>
                              </w:rPr>
                            </w:pPr>
                            <w:hyperlink r:id="rId4">
                              <w:r w:rsidR="004439EC">
                                <w:rPr>
                                  <w:rFonts w:eastAsia="Times New Roman"/>
                                  <w:color w:val="0000FF"/>
                                  <w:sz w:val="28"/>
                                  <w:u w:val="single"/>
                                </w:rPr>
                                <w:t>PIHFinancialManagementDivision@hud.gov</w:t>
                              </w:r>
                            </w:hyperlink>
                            <w:r w:rsidR="004439EC">
                              <w:rPr>
                                <w:rFonts w:eastAsia="Times New Roman"/>
                                <w:color w:val="0562C1"/>
                                <w:sz w:val="28"/>
                              </w:rPr>
                              <w:t>,</w:t>
                            </w:r>
                            <w:r w:rsidR="004439EC">
                              <w:rPr>
                                <w:rFonts w:eastAsia="Times New Roman"/>
                                <w:color w:val="000000"/>
                                <w:sz w:val="28"/>
                              </w:rPr>
                              <w:t xml:space="preserve"> or by phone at 202-708-2934.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F93F" id="Text Box 3" o:spid="_x0000_s1029" type="#_x0000_t202" style="position:absolute;margin-left:37.7pt;margin-top:24.25pt;width:538.55pt;height:727.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" filled="f">
                <v:textbox inset="0,0,0,0">
                  <w:txbxContent>
                    <w:p w14:paraId="07B8F943" w14:textId="77777777" w:rsidR="003B3A46" w:rsidRDefault="004439EC">
                      <w:pPr>
                        <w:spacing w:before="869" w:line="374" w:lineRule="exact"/>
                        <w:ind w:left="792" w:right="2448" w:firstLine="648"/>
                        <w:textAlignment w:val="baseline"/>
                        <w:rPr>
                          <w:rFonts w:eastAsia="Times New Roman"/>
                          <w:color w:val="000000"/>
                          <w:sz w:val="28"/>
                        </w:rPr>
                      </w:pPr>
                      <w:r>
                        <w:rPr>
                          <w:rFonts w:eastAsia="Times New Roman"/>
                          <w:color w:val="000000"/>
                          <w:sz w:val="28"/>
                        </w:rPr>
                        <w:t>Please note, these portability fee procedures also apply to the Mainstream program.</w:t>
                      </w:r>
                    </w:p>
                    <w:p w14:paraId="07B8F944" w14:textId="77777777" w:rsidR="003B3A46" w:rsidRDefault="004439EC">
                      <w:pPr>
                        <w:spacing w:before="212" w:line="360" w:lineRule="exact"/>
                        <w:ind w:left="792" w:right="1584" w:firstLine="792"/>
                        <w:textAlignment w:val="baseline"/>
                        <w:rPr>
                          <w:rFonts w:eastAsia="Times New Roman"/>
                          <w:color w:val="000000"/>
                          <w:sz w:val="28"/>
                        </w:rPr>
                      </w:pPr>
                      <w:r>
                        <w:rPr>
                          <w:rFonts w:eastAsia="Times New Roman"/>
                          <w:color w:val="000000"/>
                          <w:sz w:val="28"/>
                        </w:rPr>
                        <w:t>If you need further assistance with this narrative, please contact the Financial Management Division at</w:t>
                      </w:r>
                    </w:p>
                    <w:p w14:paraId="07B8F945" w14:textId="77777777" w:rsidR="003B3A46" w:rsidRDefault="00AD323F">
                      <w:pPr>
                        <w:spacing w:before="49" w:after="11243" w:line="323" w:lineRule="exact"/>
                        <w:ind w:left="792"/>
                        <w:textAlignment w:val="baseline"/>
                        <w:rPr>
                          <w:rFonts w:eastAsia="Times New Roman"/>
                          <w:color w:val="0562C1"/>
                          <w:sz w:val="28"/>
                          <w:u w:val="single"/>
                        </w:rPr>
                      </w:pPr>
                      <w:hyperlink r:id="rId5">
                        <w:r w:rsidR="004439EC">
                          <w:rPr>
                            <w:rFonts w:eastAsia="Times New Roman"/>
                            <w:color w:val="0000FF"/>
                            <w:sz w:val="28"/>
                            <w:u w:val="single"/>
                          </w:rPr>
                          <w:t>PIHFinancialManagementDivision@hud.gov</w:t>
                        </w:r>
                      </w:hyperlink>
                      <w:r w:rsidR="004439EC">
                        <w:rPr>
                          <w:rFonts w:eastAsia="Times New Roman"/>
                          <w:color w:val="0562C1"/>
                          <w:sz w:val="28"/>
                        </w:rPr>
                        <w:t>,</w:t>
                      </w:r>
                      <w:r w:rsidR="004439EC">
                        <w:rPr>
                          <w:rFonts w:eastAsia="Times New Roman"/>
                          <w:color w:val="000000"/>
                          <w:sz w:val="28"/>
                        </w:rPr>
                        <w:t xml:space="preserve"> or by phone at 202-708-2934.</w:t>
                      </w:r>
                    </w:p>
                  </w:txbxContent>
                </v:textbox>
                <w10:wrap type="square" anchorx="page" anchory="page"/>
              </v:shape>
            </w:pict>
          </mc:Fallback>
        </mc:AlternateContent>
      </w:r>
      <w:r>
        <w:rPr>
          <w:noProof/>
        </w:rPr>
        <mc:AlternateContent>
          <mc:Choice Requires="wps">
            <w:drawing>
              <wp:anchor distT="0" distB="0" distL="0" distR="0" simplePos="0" relativeHeight="251657728" behindDoc="1" locked="0" layoutInCell="1" allowOverlap="1" wp14:anchorId="07B8F93E" wp14:editId="19A3B81A">
                <wp:simplePos x="0" y="0"/>
                <wp:positionH relativeFrom="page">
                  <wp:posOffset>478790</wp:posOffset>
                </wp:positionH>
                <wp:positionV relativeFrom="page">
                  <wp:posOffset>304800</wp:posOffset>
                </wp:positionV>
                <wp:extent cx="6959600" cy="92710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927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F949" w14:textId="77777777" w:rsidR="00AD24E1" w:rsidRDefault="00AD24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F93E" id="Text Box 4" o:spid="_x0000_s1030" type="#_x0000_t202" style="position:absolute;margin-left:37.7pt;margin-top:24pt;width:548pt;height:730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" filled="f" stroked="f">
                <v:textbox inset="0,0,0,0">
                  <w:txbxContent>
                    <w:p w14:paraId="07B8F949" w14:textId="77777777" w:rsidR="00AD24E1" w:rsidRDefault="00AD24E1"/>
                  </w:txbxContent>
                </v:textbox>
                <w10:wrap type="square" anchorx="page" anchory="page"/>
              </v:shape>
            </w:pict>
          </mc:Fallback>
        </mc:AlternateContent>
      </w:r>
    </w:p>
    <w:sectPr w:rsidR="003B3A46">
      <w:pgSz w:w="12240" w:h="15840"/>
      <w:pgMar w:top="192" w:right="526" w:bottom="593"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46"/>
    <w:rsid w:val="00336E48"/>
    <w:rsid w:val="003513A3"/>
    <w:rsid w:val="00371BCC"/>
    <w:rsid w:val="003B3A46"/>
    <w:rsid w:val="003F043E"/>
    <w:rsid w:val="004439EC"/>
    <w:rsid w:val="004612EA"/>
    <w:rsid w:val="00740744"/>
    <w:rsid w:val="00777B66"/>
    <w:rsid w:val="00780BEC"/>
    <w:rsid w:val="00867943"/>
    <w:rsid w:val="009A6804"/>
    <w:rsid w:val="009E1CCD"/>
    <w:rsid w:val="00AD24E1"/>
    <w:rsid w:val="00AD323F"/>
    <w:rsid w:val="00BB4FC1"/>
    <w:rsid w:val="00BF3371"/>
    <w:rsid w:val="00BF7C93"/>
    <w:rsid w:val="00C95CC9"/>
    <w:rsid w:val="00F2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F92D"/>
  <w15:docId w15:val="{6E036F74-33BF-4997-BD7C-33C0E9BD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6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IHFinancialManagementDivision@hud.gov" TargetMode="External"/><Relationship Id="rId4" Type="http://schemas.openxmlformats.org/officeDocument/2006/relationships/hyperlink" Target="mailto:PIHFinancialManagementDivision@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Rachel E</dc:creator>
  <cp:lastModifiedBy>Kennedy, Rachel E</cp:lastModifiedBy>
  <cp:revision>2</cp:revision>
  <cp:lastPrinted>2020-04-29T17:10:00Z</cp:lastPrinted>
  <dcterms:created xsi:type="dcterms:W3CDTF">2021-04-22T17:07:00Z</dcterms:created>
  <dcterms:modified xsi:type="dcterms:W3CDTF">2021-04-22T17:07:00Z</dcterms:modified>
</cp:coreProperties>
</file>