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62EBEA" w14:textId="2D3468B8" w:rsidR="00355183" w:rsidRPr="00BE669E" w:rsidRDefault="00355183" w:rsidP="00C87CF0">
      <w:pPr>
        <w:pStyle w:val="Title"/>
      </w:pPr>
      <w:bookmarkStart w:id="0" w:name="_Hlk514140884"/>
      <w:bookmarkStart w:id="1" w:name="_Hlk75859852"/>
      <w:r w:rsidRPr="00BE669E">
        <w:t xml:space="preserve">Administrative, National, and Department Policy </w:t>
      </w:r>
      <w:r w:rsidR="004C042B" w:rsidRPr="00BE669E">
        <w:t>Requirements and</w:t>
      </w:r>
      <w:r w:rsidRPr="00BE669E">
        <w:t xml:space="preserve"> Terms for</w:t>
      </w:r>
      <w:r w:rsidR="006728B3">
        <w:t xml:space="preserve"> </w:t>
      </w:r>
      <w:r w:rsidR="00A57002">
        <w:t xml:space="preserve">HUD’s </w:t>
      </w:r>
      <w:r w:rsidR="009011FC">
        <w:t>Financial Assistance</w:t>
      </w:r>
      <w:r w:rsidR="00A57002">
        <w:t xml:space="preserve"> Programs</w:t>
      </w:r>
      <w:r w:rsidRPr="00BE669E">
        <w:t xml:space="preserve"> </w:t>
      </w:r>
    </w:p>
    <w:p w14:paraId="52375BE0" w14:textId="77777777" w:rsidR="00073968" w:rsidRDefault="00073968" w:rsidP="00073968">
      <w:pPr>
        <w:autoSpaceDE w:val="0"/>
        <w:autoSpaceDN w:val="0"/>
        <w:adjustRightInd w:val="0"/>
        <w:rPr>
          <w:rFonts w:eastAsiaTheme="minorHAnsi" w:cs="Times New Roman"/>
          <w:b/>
          <w:bCs/>
          <w:color w:val="000000"/>
        </w:rPr>
      </w:pPr>
      <w:bookmarkStart w:id="2" w:name="_Hlk94108044"/>
    </w:p>
    <w:bookmarkEnd w:id="2"/>
    <w:p w14:paraId="1EC32226" w14:textId="5D2DF706" w:rsidR="00A76516" w:rsidRDefault="00DE3F60" w:rsidP="00262BA1">
      <w:pPr>
        <w:autoSpaceDE w:val="0"/>
        <w:autoSpaceDN w:val="0"/>
        <w:adjustRightInd w:val="0"/>
      </w:pPr>
      <w:r w:rsidRPr="00DE3F60">
        <w:t>The requirements below only apply if they are listed in the Section VI.B., “Administrative, National and Departmental Policy Requirements and Terms for HUD Applicants and Recipients of Financial Assistance Awards” of the program NOFO.</w:t>
      </w:r>
      <w:r>
        <w:t xml:space="preserve">  </w:t>
      </w:r>
      <w:r w:rsidR="00A76516" w:rsidRPr="00546D18">
        <w:t>The legal agreement signed pursuant to a</w:t>
      </w:r>
      <w:r w:rsidR="006F03E8">
        <w:t>n award with the recipient or</w:t>
      </w:r>
      <w:r w:rsidR="00A76516" w:rsidRPr="00546D18">
        <w:t xml:space="preserve"> subaward </w:t>
      </w:r>
      <w:r w:rsidR="006F03E8">
        <w:t xml:space="preserve">with a subrecipient </w:t>
      </w:r>
      <w:r w:rsidR="00A76516" w:rsidRPr="00546D18">
        <w:t xml:space="preserve">must contain assurance of compliance with program requirements, including but not limited to nondiscrimination and equal opportunity requirements. 24 C.F.R. </w:t>
      </w:r>
      <w:r w:rsidR="00A76516" w:rsidRPr="001A56AB">
        <w:t>§</w:t>
      </w:r>
      <w:r w:rsidR="00A76516">
        <w:t xml:space="preserve"> </w:t>
      </w:r>
      <w:r w:rsidR="00A76516" w:rsidRPr="00546D18">
        <w:t xml:space="preserve">5.105(a). </w:t>
      </w:r>
    </w:p>
    <w:p w14:paraId="4E6D981D" w14:textId="23B68051" w:rsidR="00E0334F" w:rsidRPr="00C87CF0" w:rsidRDefault="00C17394" w:rsidP="00C87CF0">
      <w:pPr>
        <w:pStyle w:val="Heading1"/>
        <w:ind w:left="360"/>
      </w:pPr>
      <w:r>
        <w:t>The Fair Housing Act</w:t>
      </w:r>
      <w:r w:rsidR="00564EC3" w:rsidRPr="00C87CF0">
        <w:t>.</w:t>
      </w:r>
      <w:r w:rsidR="00E0334F" w:rsidRPr="00C87CF0">
        <w:t xml:space="preserve"> </w:t>
      </w:r>
    </w:p>
    <w:p w14:paraId="538465D2" w14:textId="77777777" w:rsidR="00013274" w:rsidRPr="00262BA1" w:rsidRDefault="00013274" w:rsidP="00262BA1">
      <w:pPr>
        <w:autoSpaceDE w:val="0"/>
        <w:autoSpaceDN w:val="0"/>
        <w:adjustRightInd w:val="0"/>
      </w:pPr>
      <w:r w:rsidRPr="00262BA1">
        <w:t>Title VIII of the Civil Rights Act of 1968 (Fair Housing Act), as amended, (</w:t>
      </w:r>
      <w:hyperlink r:id="rId11" w:history="1">
        <w:r w:rsidRPr="00262BA1">
          <w:t>42 U.S.C. §§ 3601 – 3619</w:t>
        </w:r>
      </w:hyperlink>
      <w:r w:rsidRPr="00262BA1">
        <w:t xml:space="preserve">; implementing regulations at </w:t>
      </w:r>
      <w:hyperlink r:id="rId12" w:history="1">
        <w:r w:rsidRPr="00262BA1">
          <w:t>24 CFR part 100 et seq</w:t>
        </w:r>
      </w:hyperlink>
      <w:r w:rsidRPr="002F6CD5">
        <w:t>.</w:t>
      </w:r>
      <w:r w:rsidRPr="00262BA1">
        <w:t>) prohibits discrimination in the sale, rental, and financing of dwellings, and in other housing-related transactions, because of race, color, religion, sex (including gender identity and sexual orientation), familial status, national origin, and disability. It also requires that all federal programs relating to housing and urban development be administered in a manner that affirmatively furthers fair housing.</w:t>
      </w:r>
    </w:p>
    <w:p w14:paraId="3E0F15CD" w14:textId="50506F3A" w:rsidR="00013274" w:rsidRPr="00262BA1" w:rsidRDefault="00013274" w:rsidP="00262BA1">
      <w:pPr>
        <w:autoSpaceDE w:val="0"/>
        <w:autoSpaceDN w:val="0"/>
        <w:adjustRightInd w:val="0"/>
      </w:pPr>
      <w:r w:rsidRPr="00262BA1">
        <w:t xml:space="preserve">Additionally, recipients of HUD funding and their prospective subrecipients, must comply with the fair housing law(s) of the state or locality in which their program or activity is conducted (e.g., </w:t>
      </w:r>
      <w:r w:rsidR="0016740E">
        <w:t xml:space="preserve">if there is a law </w:t>
      </w:r>
      <w:r w:rsidRPr="00262BA1">
        <w:t>prohibiti</w:t>
      </w:r>
      <w:r w:rsidR="0016740E">
        <w:t>ng</w:t>
      </w:r>
      <w:r w:rsidRPr="00262BA1">
        <w:t xml:space="preserve"> discrimination in housing based on lawful source of income).</w:t>
      </w:r>
    </w:p>
    <w:p w14:paraId="6518BEE1" w14:textId="6E7AF745" w:rsidR="00E0334F" w:rsidRPr="00262BA1" w:rsidRDefault="00713D44" w:rsidP="00262BA1">
      <w:pPr>
        <w:pStyle w:val="Heading1"/>
        <w:ind w:left="360"/>
      </w:pPr>
      <w:r>
        <w:t>Title V</w:t>
      </w:r>
      <w:r w:rsidR="00C02A49">
        <w:t>I</w:t>
      </w:r>
      <w:r>
        <w:t xml:space="preserve"> of the </w:t>
      </w:r>
      <w:r w:rsidR="00E0334F" w:rsidRPr="004D7AA0">
        <w:t xml:space="preserve">Civil Rights </w:t>
      </w:r>
      <w:r w:rsidR="00C17394">
        <w:t>Act of 1964</w:t>
      </w:r>
      <w:r w:rsidR="00E0334F" w:rsidRPr="004D7AA0">
        <w:t xml:space="preserve">. </w:t>
      </w:r>
    </w:p>
    <w:p w14:paraId="76339717" w14:textId="77777777" w:rsidR="00687FD4" w:rsidRPr="002F6CD5" w:rsidRDefault="00687FD4" w:rsidP="00262BA1">
      <w:pPr>
        <w:autoSpaceDE w:val="0"/>
        <w:autoSpaceDN w:val="0"/>
        <w:adjustRightInd w:val="0"/>
      </w:pPr>
      <w:r w:rsidRPr="002F6CD5">
        <w:t>Title VI of the Civil Rights Act of 1964 (</w:t>
      </w:r>
      <w:hyperlink r:id="rId13" w:history="1">
        <w:r w:rsidRPr="00262BA1">
          <w:t>42 U.S.C. § 2000d</w:t>
        </w:r>
      </w:hyperlink>
      <w:r w:rsidRPr="002F6CD5">
        <w:t xml:space="preserve"> et seq.) and HUD’s implementing regulations (</w:t>
      </w:r>
      <w:hyperlink r:id="rId14" w:history="1">
        <w:r w:rsidRPr="00262BA1">
          <w:t>24 C.F.R. part 1</w:t>
        </w:r>
      </w:hyperlink>
      <w:r w:rsidRPr="002F6CD5">
        <w:t xml:space="preserve">) prohibit recipients of federal financial assistance from discriminating against any person on the basis of race, color, or national origin. Under Title VI, recipients may not exclude a person from participation, restrict access, treat differently, deny any benefit, provide any benefit differently, or otherwise discriminate against any person on the basis of race, color, or national origin.  Recipients also may not utilize criteria or methods of administration that have the purpose or effect of subjecting individuals to discrimination because of their race, color, or national origin.  Siting decisions by recipients may not have the purpose or effect of discriminating based on race, color, or national origin.  Recipients also may not subject any person to segregation based on race, color, or national origin.  In addition, recipients are obligated to take reasonable actions to remove or overcome the consequences of prior discriminatory practices regardless of whether the recipient engaged in discriminatory conduct.  Title VI applies to actions taken directly and actions taken through contractual arrangements.  </w:t>
      </w:r>
    </w:p>
    <w:p w14:paraId="3B9B6A2C" w14:textId="38A4FB59" w:rsidR="00496A4D" w:rsidRPr="00F61172" w:rsidRDefault="002442A3" w:rsidP="00496A4D">
      <w:pPr>
        <w:pStyle w:val="Heading1"/>
        <w:ind w:left="360"/>
      </w:pPr>
      <w:r>
        <w:t>T</w:t>
      </w:r>
      <w:r w:rsidR="00496A4D">
        <w:t>he Age Discrimination Act of 1975</w:t>
      </w:r>
      <w:r w:rsidR="00496A4D" w:rsidRPr="00F61172">
        <w:t>.</w:t>
      </w:r>
    </w:p>
    <w:p w14:paraId="6CB56318" w14:textId="77777777" w:rsidR="0088527A" w:rsidRPr="00262BA1" w:rsidRDefault="0088527A" w:rsidP="00262BA1">
      <w:pPr>
        <w:autoSpaceDE w:val="0"/>
        <w:autoSpaceDN w:val="0"/>
        <w:adjustRightInd w:val="0"/>
      </w:pPr>
      <w:r w:rsidRPr="00262BA1">
        <w:t>The Age Discrimination Act of 1975 (</w:t>
      </w:r>
      <w:hyperlink r:id="rId15" w:history="1">
        <w:r w:rsidRPr="00262BA1">
          <w:t>42 U.S.C. §§ 6101 – 6107</w:t>
        </w:r>
      </w:hyperlink>
      <w:r w:rsidRPr="00262BA1">
        <w:t xml:space="preserve">) prohibits discrimination on the basis of age in programs and activities receiving federal financial assistance. HUD’s implementing regulations are at </w:t>
      </w:r>
      <w:hyperlink r:id="rId16" w:history="1">
        <w:r w:rsidRPr="00262BA1">
          <w:t>24 C.F.R. part 146</w:t>
        </w:r>
      </w:hyperlink>
      <w:r w:rsidRPr="00262BA1">
        <w:t>.</w:t>
      </w:r>
    </w:p>
    <w:p w14:paraId="242E481B" w14:textId="2C4B6937" w:rsidR="00A00BAF" w:rsidRPr="00F61172" w:rsidRDefault="00A00BAF" w:rsidP="00A00BAF">
      <w:pPr>
        <w:pStyle w:val="Heading1"/>
        <w:ind w:left="360"/>
      </w:pPr>
      <w:r>
        <w:t>Section 504 of the Rehabilitation Act of 1973</w:t>
      </w:r>
      <w:r w:rsidRPr="00F61172">
        <w:t>.</w:t>
      </w:r>
    </w:p>
    <w:p w14:paraId="239B41A7" w14:textId="77777777" w:rsidR="00662327" w:rsidRPr="00262BA1" w:rsidRDefault="00662327" w:rsidP="00262BA1">
      <w:pPr>
        <w:autoSpaceDE w:val="0"/>
        <w:autoSpaceDN w:val="0"/>
        <w:adjustRightInd w:val="0"/>
      </w:pPr>
      <w:r w:rsidRPr="00262BA1">
        <w:t>Section 504 (</w:t>
      </w:r>
      <w:hyperlink r:id="rId17" w:history="1">
        <w:r w:rsidRPr="00262BA1">
          <w:t>29 U.S.C. § 794</w:t>
        </w:r>
      </w:hyperlink>
      <w:r w:rsidRPr="00262BA1">
        <w:t>) and HUD’s implementing regulations (</w:t>
      </w:r>
      <w:hyperlink r:id="rId18" w:history="1">
        <w:r w:rsidRPr="00262BA1">
          <w:t>24 C.F.R. part 8</w:t>
        </w:r>
      </w:hyperlink>
      <w:r w:rsidRPr="00262BA1">
        <w:t xml:space="preserve">) prohibits discrimination based on disability in any program or activity receiving federal financial assistance. </w:t>
      </w:r>
      <w:r w:rsidRPr="002F6CD5">
        <w:t xml:space="preserve"> Recipients of federal financial assistance may not deny a qualified individual with disabilities the opportunity to participate in or benefit from housing, or an aid, benefit, or service.  Recipients must provide equal benefits to individuals with  disabilities. Recipients may not provide different or </w:t>
      </w:r>
      <w:r w:rsidRPr="002F6CD5">
        <w:lastRenderedPageBreak/>
        <w:t>separate benefits to individuals with disabilities, unless necessary to provide such individuals with benefits that are equally effective to those provided others.  Recipients must administer programs and activities receiving Federal financial assistance in the most integrated setting appropriate to the needs of qualified individuals with disabilities.  Section 504 applies to actions taken directly and actions taken through contractual arrangements.</w:t>
      </w:r>
    </w:p>
    <w:p w14:paraId="274E1532" w14:textId="77777777" w:rsidR="00662327" w:rsidRPr="002F6CD5" w:rsidRDefault="00662327" w:rsidP="00262BA1">
      <w:pPr>
        <w:autoSpaceDE w:val="0"/>
        <w:autoSpaceDN w:val="0"/>
        <w:adjustRightInd w:val="0"/>
      </w:pPr>
      <w:r w:rsidRPr="002F6CD5">
        <w:t xml:space="preserve">Under Section 504, recipients must provide reasonable accommodations for persons with disabilities. A reasonable accommodation is a change, adaptation, or modification to a policy, program, service, or workplace which will allow a qualified person with a disability to participate fully in a program, take advantage of a service, or perform a job. </w:t>
      </w:r>
    </w:p>
    <w:p w14:paraId="23396E12" w14:textId="77777777" w:rsidR="00662327" w:rsidRPr="002F6CD5" w:rsidRDefault="00662327" w:rsidP="00262BA1">
      <w:pPr>
        <w:autoSpaceDE w:val="0"/>
        <w:autoSpaceDN w:val="0"/>
        <w:adjustRightInd w:val="0"/>
      </w:pPr>
      <w:r w:rsidRPr="002F6CD5">
        <w:t>Recipients must also take appropriate steps to ensure effective communication with applicants, beneficiaries, and members of the public, such as providing auxiliary aids and services, including American Sign Language interpreters and alternate format documents (e.g., Braille, large print, accessible electronic communications) for persons with disabilities.</w:t>
      </w:r>
    </w:p>
    <w:p w14:paraId="1E3A69EE" w14:textId="64101B53" w:rsidR="00735AEC" w:rsidRPr="00F61172" w:rsidRDefault="002442A3" w:rsidP="00735AEC">
      <w:pPr>
        <w:pStyle w:val="Heading1"/>
        <w:ind w:left="360"/>
      </w:pPr>
      <w:r>
        <w:t>T</w:t>
      </w:r>
      <w:r w:rsidR="00735AEC">
        <w:t>he Americans with Disabilities Act</w:t>
      </w:r>
      <w:r w:rsidR="00735AEC" w:rsidRPr="00F61172">
        <w:t>.</w:t>
      </w:r>
    </w:p>
    <w:p w14:paraId="4F6BF80D" w14:textId="77777777" w:rsidR="00264401" w:rsidRPr="00264401" w:rsidRDefault="00264401" w:rsidP="00262BA1">
      <w:pPr>
        <w:autoSpaceDE w:val="0"/>
        <w:autoSpaceDN w:val="0"/>
        <w:adjustRightInd w:val="0"/>
      </w:pPr>
      <w:r w:rsidRPr="00264401">
        <w:t>Title II of the ADA (</w:t>
      </w:r>
      <w:hyperlink r:id="rId19" w:history="1">
        <w:r w:rsidRPr="00262BA1">
          <w:t>42 U.S.C. §§ 12131 – 12165)</w:t>
        </w:r>
      </w:hyperlink>
      <w:r w:rsidRPr="00262BA1">
        <w:t xml:space="preserve"> </w:t>
      </w:r>
      <w:r w:rsidRPr="00264401">
        <w:t xml:space="preserve">prohibits discrimination based on disability in programs and activities provided or made available by public entities. </w:t>
      </w:r>
      <w:r w:rsidRPr="00262BA1">
        <w:t>Title III of the ADA (</w:t>
      </w:r>
      <w:hyperlink r:id="rId20" w:history="1">
        <w:r w:rsidRPr="00262BA1">
          <w:t>42 U.S.C. §§ 12181 – 12189</w:t>
        </w:r>
      </w:hyperlink>
      <w:r w:rsidRPr="00262BA1">
        <w:t>) prohibits discrimination based on disability in the goods, services, facilities, privileges, advantages, and accommodations of places of public accommodations owned, leased, or operated by private entities.</w:t>
      </w:r>
    </w:p>
    <w:p w14:paraId="17D3CF3A" w14:textId="562F5B06" w:rsidR="00E0334F" w:rsidRPr="00F61172" w:rsidRDefault="00E0334F" w:rsidP="00262BA1">
      <w:pPr>
        <w:pStyle w:val="Heading1"/>
        <w:ind w:left="360"/>
      </w:pPr>
      <w:bookmarkStart w:id="3" w:name="_Hlk86997812"/>
      <w:r w:rsidRPr="00C87CF0">
        <w:t xml:space="preserve">Affirmatively Furthering Fair </w:t>
      </w:r>
      <w:r w:rsidR="007A3465" w:rsidRPr="00C87CF0">
        <w:t>Housing</w:t>
      </w:r>
      <w:r w:rsidR="00735AEC">
        <w:t xml:space="preserve"> requirements</w:t>
      </w:r>
      <w:r w:rsidR="007A3465" w:rsidRPr="00F61172">
        <w:t>.</w:t>
      </w:r>
    </w:p>
    <w:p w14:paraId="06B6C926" w14:textId="1FDF1555" w:rsidR="00073968" w:rsidRPr="006E1C40" w:rsidRDefault="00073968" w:rsidP="00262BA1">
      <w:pPr>
        <w:autoSpaceDE w:val="0"/>
        <w:autoSpaceDN w:val="0"/>
        <w:adjustRightInd w:val="0"/>
        <w:rPr>
          <w:rFonts w:eastAsiaTheme="minorHAnsi" w:cs="Times New Roman"/>
          <w:color w:val="000000"/>
        </w:rPr>
      </w:pPr>
      <w:bookmarkStart w:id="4" w:name="_Hlk74575092"/>
      <w:bookmarkEnd w:id="3"/>
      <w:r w:rsidRPr="00A44D56">
        <w:t>Section 808(e)(5) of the Fair Housing Act</w:t>
      </w:r>
      <w:r w:rsidR="00D2664F">
        <w:t xml:space="preserve"> (42. U.S.C. 3608(e)(5))</w:t>
      </w:r>
      <w:r w:rsidRPr="00A44D56">
        <w:t xml:space="preserve"> </w:t>
      </w:r>
      <w:bookmarkEnd w:id="4"/>
      <w:r w:rsidRPr="00A44D56">
        <w:t xml:space="preserve">requires HUD to </w:t>
      </w:r>
      <w:r>
        <w:t xml:space="preserve">administer its programs and activities in a manner to </w:t>
      </w:r>
      <w:r w:rsidRPr="00A44D56">
        <w:t xml:space="preserve">affirmatively further the purposes of the Fair Housing Act. HUD requires recipients of </w:t>
      </w:r>
      <w:r w:rsidR="002E6174">
        <w:t xml:space="preserve">HUD </w:t>
      </w:r>
      <w:r w:rsidRPr="00A44D56">
        <w:t xml:space="preserve">funds, including those awarded and </w:t>
      </w:r>
      <w:r w:rsidR="00CD5F7E" w:rsidRPr="00A44D56">
        <w:t>announced under HUD</w:t>
      </w:r>
      <w:r w:rsidR="003D0B1E">
        <w:t>’</w:t>
      </w:r>
      <w:r w:rsidR="00CD5F7E" w:rsidRPr="00A44D56">
        <w:t xml:space="preserve">s FY </w:t>
      </w:r>
      <w:r w:rsidR="00CD5F7E" w:rsidRPr="00612E22">
        <w:rPr>
          <w:rFonts w:cs="Times New Roman"/>
        </w:rPr>
        <w:t>202</w:t>
      </w:r>
      <w:r w:rsidR="00180478">
        <w:rPr>
          <w:rFonts w:cs="Times New Roman"/>
        </w:rPr>
        <w:t>3</w:t>
      </w:r>
      <w:r w:rsidR="00CD5F7E" w:rsidRPr="00A44D56">
        <w:t xml:space="preserve"> NOFOs not specifically exempted, to </w:t>
      </w:r>
      <w:r w:rsidR="00CD5F7E">
        <w:t xml:space="preserve">take meaningful actions that </w:t>
      </w:r>
      <w:r w:rsidR="00CD5F7E" w:rsidRPr="00A44D56">
        <w:t>affirmatively further fair housing</w:t>
      </w:r>
      <w:r w:rsidR="00CD5F7E">
        <w:t>.</w:t>
      </w:r>
    </w:p>
    <w:p w14:paraId="78082801" w14:textId="1C303F29" w:rsidR="00E0334F" w:rsidRPr="00C87CF0" w:rsidRDefault="00E0334F" w:rsidP="00262BA1">
      <w:pPr>
        <w:pStyle w:val="Heading1"/>
        <w:ind w:left="360"/>
        <w:rPr>
          <w:b w:val="0"/>
        </w:rPr>
      </w:pPr>
      <w:r w:rsidRPr="00C87CF0">
        <w:t xml:space="preserve">Economic Opportunities for Low-and Very Low-income Persons (Section 3). </w:t>
      </w:r>
    </w:p>
    <w:p w14:paraId="482FBCA8" w14:textId="4C421C25" w:rsidR="006F430B" w:rsidRPr="006E1C40" w:rsidRDefault="00E27BAB" w:rsidP="00262BA1">
      <w:pPr>
        <w:autoSpaceDE w:val="0"/>
        <w:autoSpaceDN w:val="0"/>
        <w:adjustRightInd w:val="0"/>
        <w:rPr>
          <w:rFonts w:cs="Times New Roman"/>
        </w:rPr>
      </w:pPr>
      <w:r w:rsidRPr="5513A16C">
        <w:rPr>
          <w:rFonts w:cs="Times New Roman"/>
        </w:rPr>
        <w:t xml:space="preserve">Section 3 of the Housing and Urban Development Act of 1968 (Section 3), </w:t>
      </w:r>
      <w:r w:rsidR="00781304" w:rsidRPr="5513A16C">
        <w:rPr>
          <w:rFonts w:cs="Times New Roman"/>
        </w:rPr>
        <w:t>(</w:t>
      </w:r>
      <w:r w:rsidRPr="5513A16C">
        <w:rPr>
          <w:rFonts w:cs="Times New Roman"/>
        </w:rPr>
        <w:t xml:space="preserve">12 U.S.C. </w:t>
      </w:r>
      <w:r w:rsidR="005A44FE" w:rsidRPr="5513A16C">
        <w:rPr>
          <w:rFonts w:cs="Times New Roman"/>
        </w:rPr>
        <w:t xml:space="preserve">§ </w:t>
      </w:r>
      <w:r w:rsidRPr="5513A16C">
        <w:rPr>
          <w:rFonts w:cs="Times New Roman"/>
        </w:rPr>
        <w:t>1701u</w:t>
      </w:r>
      <w:r w:rsidR="00781304" w:rsidRPr="5513A16C">
        <w:rPr>
          <w:rFonts w:cs="Times New Roman"/>
        </w:rPr>
        <w:t>),</w:t>
      </w:r>
      <w:r w:rsidRPr="5513A16C">
        <w:rPr>
          <w:rFonts w:cs="Times New Roman"/>
        </w:rPr>
        <w:t xml:space="preserve"> </w:t>
      </w:r>
      <w:r w:rsidR="00781304" w:rsidRPr="5513A16C">
        <w:rPr>
          <w:rFonts w:cs="Times New Roman"/>
        </w:rPr>
        <w:t>entitled “</w:t>
      </w:r>
      <w:r w:rsidRPr="5513A16C">
        <w:rPr>
          <w:rFonts w:cs="Times New Roman"/>
        </w:rPr>
        <w:t>Economic Opportunities for Low- and Very Low-Income Persons</w:t>
      </w:r>
      <w:r w:rsidR="00B90940">
        <w:rPr>
          <w:rFonts w:cs="Times New Roman"/>
        </w:rPr>
        <w:t>,</w:t>
      </w:r>
      <w:r w:rsidR="00B90940" w:rsidRPr="5513A16C">
        <w:rPr>
          <w:rFonts w:cs="Times New Roman"/>
        </w:rPr>
        <w:t>”</w:t>
      </w:r>
      <w:r w:rsidRPr="5513A16C">
        <w:rPr>
          <w:rFonts w:cs="Times New Roman"/>
        </w:rPr>
        <w:t xml:space="preserve"> </w:t>
      </w:r>
      <w:r w:rsidR="003B1CBF" w:rsidRPr="5513A16C">
        <w:rPr>
          <w:rFonts w:cs="Times New Roman"/>
        </w:rPr>
        <w:t xml:space="preserve">and the HUD regulations at 24 CFR </w:t>
      </w:r>
      <w:r w:rsidR="00073968" w:rsidRPr="5513A16C">
        <w:rPr>
          <w:rFonts w:cs="Times New Roman"/>
        </w:rPr>
        <w:t xml:space="preserve">part </w:t>
      </w:r>
      <w:r w:rsidR="00073968">
        <w:rPr>
          <w:rFonts w:cs="Times New Roman"/>
        </w:rPr>
        <w:t xml:space="preserve">75 </w:t>
      </w:r>
      <w:r w:rsidR="00073968" w:rsidRPr="5513A16C">
        <w:rPr>
          <w:rFonts w:cs="Times New Roman"/>
        </w:rPr>
        <w:t>require</w:t>
      </w:r>
      <w:r w:rsidRPr="5513A16C">
        <w:rPr>
          <w:rFonts w:cs="Times New Roman"/>
        </w:rPr>
        <w:t>, to the greatest extent feasible, that training,</w:t>
      </w:r>
      <w:r w:rsidR="00437FD8" w:rsidRPr="5513A16C">
        <w:rPr>
          <w:rFonts w:cs="Times New Roman"/>
        </w:rPr>
        <w:t xml:space="preserve"> </w:t>
      </w:r>
      <w:r w:rsidR="00E0334F" w:rsidRPr="5513A16C">
        <w:rPr>
          <w:rFonts w:cs="Times New Roman"/>
        </w:rPr>
        <w:t>employment, contracting and other economic opportunities be directed to low- and very low-income persons, especially recipients of government assistance for housing, and to businesses that provide economic opportunities to low-</w:t>
      </w:r>
      <w:r w:rsidR="00907BD1" w:rsidRPr="5513A16C">
        <w:rPr>
          <w:rFonts w:cs="Times New Roman"/>
        </w:rPr>
        <w:t xml:space="preserve"> </w:t>
      </w:r>
      <w:r w:rsidR="00E0334F" w:rsidRPr="5513A16C">
        <w:rPr>
          <w:rFonts w:cs="Times New Roman"/>
        </w:rPr>
        <w:t xml:space="preserve">and very low-income persons. </w:t>
      </w:r>
    </w:p>
    <w:p w14:paraId="7A0E0743" w14:textId="6F57A396" w:rsidR="00E0334F" w:rsidRPr="006E1C40" w:rsidRDefault="00E0334F" w:rsidP="00262BA1">
      <w:pPr>
        <w:autoSpaceDE w:val="0"/>
        <w:autoSpaceDN w:val="0"/>
        <w:adjustRightInd w:val="0"/>
        <w:rPr>
          <w:rFonts w:eastAsiaTheme="minorHAnsi" w:cs="Times New Roman"/>
        </w:rPr>
      </w:pPr>
      <w:r w:rsidRPr="006E1C40">
        <w:rPr>
          <w:rFonts w:eastAsiaTheme="minorHAnsi" w:cs="Times New Roman"/>
        </w:rPr>
        <w:t xml:space="preserve">HUD encourages recipients to search the national </w:t>
      </w:r>
      <w:hyperlink r:id="rId21" w:history="1">
        <w:r w:rsidRPr="00181BB8">
          <w:rPr>
            <w:rStyle w:val="Hyperlink"/>
            <w:rFonts w:eastAsiaTheme="minorHAnsi" w:cs="Times New Roman"/>
          </w:rPr>
          <w:t>Section 3 Business Registry</w:t>
        </w:r>
      </w:hyperlink>
      <w:r w:rsidRPr="006E1C40">
        <w:rPr>
          <w:rFonts w:eastAsiaTheme="minorHAnsi" w:cs="Times New Roman"/>
        </w:rPr>
        <w:t xml:space="preserve"> to find local businesses that prioritize hiring Section 3 </w:t>
      </w:r>
      <w:r w:rsidR="00B90940">
        <w:rPr>
          <w:rFonts w:eastAsiaTheme="minorHAnsi" w:cs="Times New Roman"/>
        </w:rPr>
        <w:t>workers</w:t>
      </w:r>
      <w:r w:rsidR="00B90940" w:rsidRPr="006E1C40">
        <w:rPr>
          <w:rFonts w:eastAsiaTheme="minorHAnsi" w:cs="Times New Roman"/>
        </w:rPr>
        <w:t>.</w:t>
      </w:r>
    </w:p>
    <w:p w14:paraId="073982BD" w14:textId="1F3E8F1C" w:rsidR="00E0334F" w:rsidRPr="00C87CF0" w:rsidRDefault="00E0334F" w:rsidP="00262BA1">
      <w:pPr>
        <w:pStyle w:val="Heading1"/>
        <w:ind w:left="360"/>
      </w:pPr>
      <w:r w:rsidRPr="00C87CF0">
        <w:t xml:space="preserve">Improving Access to Services for Persons with Limited English Proficiency. </w:t>
      </w:r>
    </w:p>
    <w:p w14:paraId="445947A1" w14:textId="3E04EC94" w:rsidR="00E0334F" w:rsidRPr="006E1C40" w:rsidRDefault="00E0334F" w:rsidP="00262BA1">
      <w:pPr>
        <w:autoSpaceDE w:val="0"/>
        <w:autoSpaceDN w:val="0"/>
        <w:adjustRightInd w:val="0"/>
        <w:rPr>
          <w:rFonts w:cs="Times New Roman"/>
        </w:rPr>
      </w:pPr>
      <w:r w:rsidRPr="5513A16C">
        <w:rPr>
          <w:rFonts w:cs="Times New Roman"/>
        </w:rPr>
        <w:t xml:space="preserve">Executive Order13166 seeks to improve access to federally assisted programs and activities for individuals who, because of national origin, have </w:t>
      </w:r>
      <w:r w:rsidR="0045322D">
        <w:t>Limited English Proficiency (</w:t>
      </w:r>
      <w:r w:rsidRPr="5513A16C">
        <w:rPr>
          <w:rFonts w:cs="Times New Roman"/>
        </w:rPr>
        <w:t>LEP</w:t>
      </w:r>
      <w:r w:rsidR="0045322D">
        <w:rPr>
          <w:rFonts w:cs="Times New Roman"/>
        </w:rPr>
        <w:t>)</w:t>
      </w:r>
      <w:r w:rsidRPr="5513A16C">
        <w:rPr>
          <w:rFonts w:cs="Times New Roman"/>
        </w:rPr>
        <w:t>. Recipients</w:t>
      </w:r>
      <w:r w:rsidR="00B90940" w:rsidRPr="5513A16C">
        <w:rPr>
          <w:rFonts w:cs="Times New Roman"/>
        </w:rPr>
        <w:t xml:space="preserve"> </w:t>
      </w:r>
      <w:r w:rsidR="00B90940" w:rsidRPr="006510E6">
        <w:rPr>
          <w:rFonts w:cs="Times New Roman"/>
        </w:rPr>
        <w:t>and subrecipients</w:t>
      </w:r>
      <w:r w:rsidRPr="5513A16C">
        <w:rPr>
          <w:rFonts w:cs="Times New Roman"/>
        </w:rPr>
        <w:t xml:space="preserve"> of HUD funds shall take reasonable steps to ensure meaningful </w:t>
      </w:r>
      <w:r w:rsidR="00423E26">
        <w:rPr>
          <w:rFonts w:cs="Times New Roman"/>
        </w:rPr>
        <w:t xml:space="preserve">language </w:t>
      </w:r>
      <w:r w:rsidRPr="5513A16C">
        <w:rPr>
          <w:rFonts w:cs="Times New Roman"/>
        </w:rPr>
        <w:t xml:space="preserve">access to their programs and activities to </w:t>
      </w:r>
      <w:r w:rsidR="0047795B">
        <w:rPr>
          <w:rFonts w:cs="Times New Roman"/>
        </w:rPr>
        <w:t xml:space="preserve">persons with </w:t>
      </w:r>
      <w:r w:rsidRPr="5513A16C">
        <w:rPr>
          <w:rFonts w:cs="Times New Roman"/>
        </w:rPr>
        <w:t>LEP. As an aid to recipients</w:t>
      </w:r>
      <w:r w:rsidR="00B90940">
        <w:rPr>
          <w:rFonts w:cs="Times New Roman"/>
        </w:rPr>
        <w:t xml:space="preserve"> </w:t>
      </w:r>
      <w:r w:rsidR="00B90940" w:rsidRPr="006510E6">
        <w:rPr>
          <w:rFonts w:cs="Times New Roman"/>
        </w:rPr>
        <w:t>and subrecipients</w:t>
      </w:r>
      <w:r w:rsidRPr="5513A16C">
        <w:rPr>
          <w:rFonts w:cs="Times New Roman"/>
        </w:rPr>
        <w:t xml:space="preserve">, </w:t>
      </w:r>
      <w:r w:rsidR="009A75EE" w:rsidRPr="5513A16C">
        <w:rPr>
          <w:rFonts w:cs="Times New Roman"/>
        </w:rPr>
        <w:t xml:space="preserve">HUD published Final Guidance to Federal Financial Assistance Recipients Regarding Title VI Prohibition </w:t>
      </w:r>
      <w:r w:rsidRPr="5513A16C">
        <w:rPr>
          <w:rFonts w:cs="Times New Roman"/>
        </w:rPr>
        <w:t xml:space="preserve">Against National Origin Discrimination Affecting Limited English Proficient Persons (LEP </w:t>
      </w:r>
      <w:r w:rsidRPr="5513A16C">
        <w:rPr>
          <w:rFonts w:cs="Times New Roman"/>
        </w:rPr>
        <w:lastRenderedPageBreak/>
        <w:t xml:space="preserve">Guidance) in the Federal Register on January 22, 2007 (72 FR </w:t>
      </w:r>
      <w:r w:rsidR="00B90940" w:rsidRPr="5513A16C">
        <w:rPr>
          <w:rFonts w:cs="Times New Roman"/>
        </w:rPr>
        <w:t>2731</w:t>
      </w:r>
      <w:r w:rsidRPr="5513A16C">
        <w:rPr>
          <w:rFonts w:cs="Times New Roman"/>
        </w:rPr>
        <w:t xml:space="preserve">). </w:t>
      </w:r>
      <w:r w:rsidR="0049162A">
        <w:rPr>
          <w:rFonts w:cs="Times New Roman"/>
        </w:rPr>
        <w:t xml:space="preserve">The </w:t>
      </w:r>
      <w:r w:rsidRPr="5513A16C">
        <w:rPr>
          <w:rFonts w:cs="Times New Roman"/>
        </w:rPr>
        <w:t xml:space="preserve">LEP guidance and </w:t>
      </w:r>
      <w:r w:rsidR="0049162A">
        <w:rPr>
          <w:rFonts w:cs="Times New Roman"/>
        </w:rPr>
        <w:t xml:space="preserve">additional </w:t>
      </w:r>
      <w:r w:rsidRPr="5513A16C">
        <w:rPr>
          <w:rFonts w:cs="Times New Roman"/>
        </w:rPr>
        <w:t xml:space="preserve">information is available here: </w:t>
      </w:r>
      <w:hyperlink r:id="rId22">
        <w:r w:rsidRPr="5513A16C">
          <w:rPr>
            <w:rFonts w:cs="Times New Roman"/>
            <w:color w:val="0000FF"/>
          </w:rPr>
          <w:t>Federal Register</w:t>
        </w:r>
      </w:hyperlink>
      <w:r w:rsidR="00B90940" w:rsidRPr="5513A16C">
        <w:rPr>
          <w:rFonts w:cs="Times New Roman"/>
        </w:rPr>
        <w:t>.</w:t>
      </w:r>
      <w:r w:rsidRPr="5513A16C">
        <w:rPr>
          <w:rFonts w:cs="Times New Roman"/>
        </w:rPr>
        <w:t xml:space="preserve"> </w:t>
      </w:r>
    </w:p>
    <w:p w14:paraId="301DC375" w14:textId="0FC528F8" w:rsidR="00E0334F" w:rsidRPr="006E1C40" w:rsidRDefault="00E0334F" w:rsidP="00262BA1">
      <w:pPr>
        <w:pStyle w:val="Heading1"/>
        <w:ind w:left="360"/>
      </w:pPr>
      <w:r w:rsidRPr="006E1C40">
        <w:t xml:space="preserve">Accessible Technology. </w:t>
      </w:r>
    </w:p>
    <w:p w14:paraId="00E01C6D" w14:textId="30D87111" w:rsidR="00E0334F" w:rsidRPr="006E1C40" w:rsidRDefault="00E0334F" w:rsidP="00262BA1">
      <w:pPr>
        <w:autoSpaceDE w:val="0"/>
        <w:autoSpaceDN w:val="0"/>
        <w:adjustRightInd w:val="0"/>
        <w:rPr>
          <w:rFonts w:cs="Times New Roman"/>
        </w:rPr>
      </w:pPr>
      <w:r w:rsidRPr="5513A16C">
        <w:rPr>
          <w:rFonts w:cs="Times New Roman"/>
        </w:rPr>
        <w:t>Section 508 of the Rehabilitation Act of 1973</w:t>
      </w:r>
      <w:r w:rsidR="00416CD3" w:rsidRPr="5513A16C">
        <w:rPr>
          <w:rFonts w:cs="Times New Roman"/>
        </w:rPr>
        <w:t xml:space="preserve"> </w:t>
      </w:r>
      <w:r w:rsidRPr="5513A16C">
        <w:rPr>
          <w:rFonts w:cs="Times New Roman"/>
        </w:rPr>
        <w:t>requires HUD to ensure, when developing, procuring, maintaining, or using electronic and information technology (EIT), that the EIT allows persons with disabilities to access and use information and data comparably to those without disabilities unless an undue burden would result to the Federal agency. HUD encourages its recipients</w:t>
      </w:r>
      <w:r w:rsidR="00B90940" w:rsidRPr="5513A16C">
        <w:rPr>
          <w:rFonts w:cs="Times New Roman"/>
        </w:rPr>
        <w:t xml:space="preserve"> </w:t>
      </w:r>
      <w:r w:rsidR="00B90940">
        <w:rPr>
          <w:rFonts w:cs="Times New Roman"/>
        </w:rPr>
        <w:t>and subrecipients</w:t>
      </w:r>
      <w:r w:rsidRPr="5513A16C">
        <w:rPr>
          <w:rFonts w:cs="Times New Roman"/>
        </w:rPr>
        <w:t xml:space="preserve"> to adopt the goals and objectives of Section 508 by ensuring comparable access whenever EIT is used. </w:t>
      </w:r>
      <w:r w:rsidR="00546C5F" w:rsidRPr="5513A16C">
        <w:rPr>
          <w:rFonts w:cs="Times New Roman"/>
        </w:rPr>
        <w:t xml:space="preserve">In addition, </w:t>
      </w:r>
      <w:r w:rsidR="00272E39" w:rsidRPr="5513A16C">
        <w:rPr>
          <w:rFonts w:cs="Times New Roman"/>
        </w:rPr>
        <w:t>the r</w:t>
      </w:r>
      <w:r w:rsidRPr="5513A16C">
        <w:rPr>
          <w:rFonts w:cs="Times New Roman"/>
        </w:rPr>
        <w:t xml:space="preserve">ecipient </w:t>
      </w:r>
      <w:r w:rsidR="00073968">
        <w:rPr>
          <w:rFonts w:cs="Times New Roman"/>
        </w:rPr>
        <w:t>and subrecipient(s)</w:t>
      </w:r>
      <w:r w:rsidR="00073968" w:rsidRPr="5513A16C">
        <w:rPr>
          <w:rFonts w:cs="Times New Roman"/>
        </w:rPr>
        <w:t xml:space="preserve"> must assure </w:t>
      </w:r>
      <w:r w:rsidR="00073968">
        <w:rPr>
          <w:rFonts w:cs="Times New Roman"/>
        </w:rPr>
        <w:t xml:space="preserve">their program </w:t>
      </w:r>
      <w:r w:rsidR="00A85876">
        <w:rPr>
          <w:rFonts w:cs="Times New Roman"/>
        </w:rPr>
        <w:t xml:space="preserve">and </w:t>
      </w:r>
      <w:r w:rsidR="00C9301D" w:rsidRPr="5513A16C">
        <w:rPr>
          <w:rFonts w:cs="Times New Roman"/>
        </w:rPr>
        <w:t xml:space="preserve">activities are carried out in </w:t>
      </w:r>
      <w:r w:rsidRPr="5513A16C">
        <w:rPr>
          <w:rFonts w:cs="Times New Roman"/>
        </w:rPr>
        <w:t>compl</w:t>
      </w:r>
      <w:r w:rsidR="001E5D64" w:rsidRPr="5513A16C">
        <w:rPr>
          <w:rFonts w:cs="Times New Roman"/>
        </w:rPr>
        <w:t>iance</w:t>
      </w:r>
      <w:r w:rsidRPr="5513A16C">
        <w:rPr>
          <w:rFonts w:cs="Times New Roman"/>
        </w:rPr>
        <w:t xml:space="preserve"> with </w:t>
      </w:r>
      <w:r w:rsidR="00C9301D" w:rsidRPr="5513A16C">
        <w:rPr>
          <w:rFonts w:cs="Times New Roman"/>
        </w:rPr>
        <w:t xml:space="preserve">applicable requirements in </w:t>
      </w:r>
      <w:r w:rsidRPr="5513A16C">
        <w:rPr>
          <w:rFonts w:cs="Times New Roman"/>
        </w:rPr>
        <w:t>Section 504 of the Rehabilitation Act</w:t>
      </w:r>
      <w:r w:rsidR="00A575EE" w:rsidRPr="5513A16C">
        <w:rPr>
          <w:rFonts w:cs="Times New Roman"/>
        </w:rPr>
        <w:t>, HUD’s implementing regulations in 24 CFR part 8,</w:t>
      </w:r>
      <w:r w:rsidRPr="5513A16C">
        <w:rPr>
          <w:rFonts w:cs="Times New Roman"/>
        </w:rPr>
        <w:t xml:space="preserve"> and, where applicable, the A</w:t>
      </w:r>
      <w:r w:rsidR="00E73B4E">
        <w:rPr>
          <w:rFonts w:cs="Times New Roman"/>
        </w:rPr>
        <w:t>merican</w:t>
      </w:r>
      <w:r w:rsidR="00543E70">
        <w:rPr>
          <w:rFonts w:cs="Times New Roman"/>
        </w:rPr>
        <w:t>s</w:t>
      </w:r>
      <w:r w:rsidR="00E73B4E">
        <w:rPr>
          <w:rFonts w:cs="Times New Roman"/>
        </w:rPr>
        <w:t xml:space="preserve"> </w:t>
      </w:r>
      <w:r w:rsidR="00543E70">
        <w:rPr>
          <w:rFonts w:cs="Times New Roman"/>
        </w:rPr>
        <w:t xml:space="preserve">with </w:t>
      </w:r>
      <w:r w:rsidRPr="5513A16C">
        <w:rPr>
          <w:rFonts w:cs="Times New Roman"/>
        </w:rPr>
        <w:t>D</w:t>
      </w:r>
      <w:r w:rsidR="00543E70">
        <w:rPr>
          <w:rFonts w:cs="Times New Roman"/>
        </w:rPr>
        <w:t xml:space="preserve">isabilities </w:t>
      </w:r>
      <w:r w:rsidRPr="5513A16C">
        <w:rPr>
          <w:rFonts w:cs="Times New Roman"/>
        </w:rPr>
        <w:t>A</w:t>
      </w:r>
      <w:r w:rsidR="00543E70">
        <w:rPr>
          <w:rFonts w:cs="Times New Roman"/>
        </w:rPr>
        <w:t>ct</w:t>
      </w:r>
      <w:r w:rsidRPr="5513A16C">
        <w:rPr>
          <w:rFonts w:cs="Times New Roman"/>
        </w:rPr>
        <w:t xml:space="preserve">. These statutes also require effective communication with individuals with disabilities and prohibit EIT-imposed barriers to access information, programs, and activities for persons with disabilities. </w:t>
      </w:r>
      <w:r w:rsidR="004E27AB" w:rsidRPr="5513A16C">
        <w:rPr>
          <w:rFonts w:cs="Times New Roman"/>
        </w:rPr>
        <w:t>For</w:t>
      </w:r>
      <w:r w:rsidR="00543E70">
        <w:rPr>
          <w:rFonts w:cs="Times New Roman"/>
        </w:rPr>
        <w:t xml:space="preserve"> more information, see</w:t>
      </w:r>
      <w:r w:rsidR="004E27AB" w:rsidRPr="5513A16C">
        <w:rPr>
          <w:rFonts w:cs="Times New Roman"/>
        </w:rPr>
        <w:t xml:space="preserve"> </w:t>
      </w:r>
      <w:r w:rsidR="005601BD" w:rsidRPr="5513A16C">
        <w:rPr>
          <w:rFonts w:cs="Times New Roman"/>
        </w:rPr>
        <w:t xml:space="preserve">HUD’s </w:t>
      </w:r>
      <w:r w:rsidR="00543E70">
        <w:rPr>
          <w:rFonts w:cs="Times New Roman"/>
        </w:rPr>
        <w:t xml:space="preserve">policy on Section 508 of the Rehabilitation Act and </w:t>
      </w:r>
      <w:hyperlink r:id="rId23">
        <w:r w:rsidR="00543E70">
          <w:rPr>
            <w:rFonts w:cs="Times New Roman"/>
            <w:color w:val="0000FF"/>
          </w:rPr>
          <w:t>A</w:t>
        </w:r>
        <w:r w:rsidRPr="5513A16C">
          <w:rPr>
            <w:rFonts w:cs="Times New Roman"/>
            <w:color w:val="0000FF"/>
          </w:rPr>
          <w:t xml:space="preserve">ccessible </w:t>
        </w:r>
        <w:r w:rsidR="00543E70">
          <w:rPr>
            <w:rFonts w:cs="Times New Roman"/>
            <w:color w:val="0000FF"/>
          </w:rPr>
          <w:t>T</w:t>
        </w:r>
        <w:r w:rsidRPr="5513A16C">
          <w:rPr>
            <w:rFonts w:cs="Times New Roman"/>
            <w:color w:val="0000FF"/>
          </w:rPr>
          <w:t>echnology</w:t>
        </w:r>
      </w:hyperlink>
      <w:r w:rsidR="00B90940" w:rsidRPr="5513A16C">
        <w:rPr>
          <w:rFonts w:cs="Times New Roman"/>
          <w:color w:val="0000FF"/>
        </w:rPr>
        <w:t>.</w:t>
      </w:r>
      <w:r w:rsidRPr="5513A16C">
        <w:rPr>
          <w:rFonts w:cs="Times New Roman"/>
        </w:rPr>
        <w:t xml:space="preserve"> </w:t>
      </w:r>
    </w:p>
    <w:p w14:paraId="4AB3E12C" w14:textId="19C16250" w:rsidR="00E0334F" w:rsidRPr="00C87CF0" w:rsidRDefault="00E0334F" w:rsidP="00C87CF0">
      <w:pPr>
        <w:pStyle w:val="Heading1"/>
        <w:ind w:left="360"/>
      </w:pPr>
      <w:r w:rsidRPr="00C87CF0">
        <w:t>Equal Access to Housing Regardless of Sexual Orientation</w:t>
      </w:r>
      <w:r w:rsidR="00E50CB0" w:rsidRPr="00C87CF0">
        <w:t>,</w:t>
      </w:r>
      <w:r w:rsidRPr="00C87CF0">
        <w:t xml:space="preserve"> </w:t>
      </w:r>
      <w:r w:rsidR="000079C9" w:rsidRPr="00C87CF0">
        <w:t>Gender Identity</w:t>
      </w:r>
      <w:r w:rsidR="00E50CB0" w:rsidRPr="00C87CF0">
        <w:t>, or Marital Status</w:t>
      </w:r>
      <w:r w:rsidR="000079C9" w:rsidRPr="00C87CF0">
        <w:t>.</w:t>
      </w:r>
      <w:r w:rsidRPr="00C87CF0">
        <w:t xml:space="preserve"> </w:t>
      </w:r>
    </w:p>
    <w:p w14:paraId="6CC31C94" w14:textId="298B3675" w:rsidR="006F430B" w:rsidRPr="006E1C40" w:rsidRDefault="00C70D25" w:rsidP="00E0334F">
      <w:pPr>
        <w:autoSpaceDE w:val="0"/>
        <w:autoSpaceDN w:val="0"/>
        <w:adjustRightInd w:val="0"/>
        <w:rPr>
          <w:rFonts w:eastAsiaTheme="minorHAnsi" w:cs="Times New Roman"/>
        </w:rPr>
      </w:pPr>
      <w:r w:rsidRPr="00C70D25">
        <w:rPr>
          <w:rFonts w:cs="Times New Roman"/>
        </w:rPr>
        <w:t xml:space="preserve">HUD’s equal access requirements in 24 CFR 5.105(a)(2) and 5.106 apply as written. </w:t>
      </w:r>
      <w:r w:rsidR="00E0334F" w:rsidRPr="5513A16C">
        <w:rPr>
          <w:rFonts w:cs="Times New Roman"/>
        </w:rPr>
        <w:t>The Equal Access Rule at 24 CFR 5.105(a)(2) requires that a determination of eligibility</w:t>
      </w:r>
      <w:r w:rsidR="00437FD8" w:rsidRPr="5513A16C">
        <w:rPr>
          <w:rFonts w:cs="Times New Roman"/>
        </w:rPr>
        <w:t xml:space="preserve"> fo</w:t>
      </w:r>
      <w:r w:rsidR="00E0334F" w:rsidRPr="5513A16C">
        <w:rPr>
          <w:rFonts w:cs="Times New Roman"/>
        </w:rPr>
        <w:t>r housing that is assisted by HUD or subject to a mortgage insured by HUD shall be made in accordance with the eligibility requirements provided for such program by HUD, and such housing shall be made available without regard to actual or perceived sexual orientation, gender identity</w:t>
      </w:r>
      <w:r w:rsidR="006E53CF" w:rsidRPr="5513A16C">
        <w:rPr>
          <w:rFonts w:cs="Times New Roman"/>
        </w:rPr>
        <w:t>,</w:t>
      </w:r>
      <w:r w:rsidR="00AC16DE" w:rsidRPr="5513A16C">
        <w:rPr>
          <w:rFonts w:cs="Times New Roman"/>
        </w:rPr>
        <w:t xml:space="preserve"> </w:t>
      </w:r>
      <w:r w:rsidR="00E0334F" w:rsidRPr="5513A16C">
        <w:rPr>
          <w:rFonts w:cs="Times New Roman"/>
        </w:rPr>
        <w:t>or marital status. Furthermore, under 24 CFR 5.106, any recipient, sub-recipient, owner, operator, manager</w:t>
      </w:r>
      <w:r w:rsidR="006E53CF" w:rsidRPr="5513A16C">
        <w:rPr>
          <w:rFonts w:cs="Times New Roman"/>
        </w:rPr>
        <w:t>,</w:t>
      </w:r>
      <w:r w:rsidR="00E0334F" w:rsidRPr="5513A16C">
        <w:rPr>
          <w:rFonts w:cs="Times New Roman"/>
        </w:rPr>
        <w:t xml:space="preserve"> or service provider funded in whole or part by any Community Planning and Development (CPD) program </w:t>
      </w:r>
      <w:r w:rsidR="00244434" w:rsidRPr="5513A16C">
        <w:rPr>
          <w:rFonts w:cs="Times New Roman"/>
        </w:rPr>
        <w:t>must provide</w:t>
      </w:r>
      <w:r w:rsidR="00E0334F" w:rsidRPr="5513A16C">
        <w:rPr>
          <w:rFonts w:cs="Times New Roman"/>
        </w:rPr>
        <w:t xml:space="preserve"> equal access to programs, activities, services, or facilities </w:t>
      </w:r>
      <w:r w:rsidR="00F173AB" w:rsidRPr="5513A16C">
        <w:rPr>
          <w:rFonts w:cs="Times New Roman"/>
        </w:rPr>
        <w:t>in accordance with</w:t>
      </w:r>
      <w:r w:rsidR="00E0334F" w:rsidRPr="5513A16C">
        <w:rPr>
          <w:rFonts w:cs="Times New Roman"/>
        </w:rPr>
        <w:t xml:space="preserve"> a person’s gender identity. </w:t>
      </w:r>
    </w:p>
    <w:p w14:paraId="35906D7E" w14:textId="45CA52B3" w:rsidR="00A22A1C" w:rsidRPr="006E1C40" w:rsidRDefault="00E0334F" w:rsidP="00A22A1C">
      <w:pPr>
        <w:autoSpaceDE w:val="0"/>
        <w:autoSpaceDN w:val="0"/>
        <w:adjustRightInd w:val="0"/>
        <w:rPr>
          <w:rFonts w:eastAsiaTheme="minorHAnsi" w:cs="Times New Roman"/>
        </w:rPr>
      </w:pPr>
      <w:r w:rsidRPr="006E1C40">
        <w:rPr>
          <w:rFonts w:eastAsiaTheme="minorHAnsi" w:cs="Times New Roman"/>
        </w:rPr>
        <w:t xml:space="preserve">HUD’s definitions of sexual orientation and gender identity </w:t>
      </w:r>
      <w:r w:rsidR="00A636F9">
        <w:rPr>
          <w:rFonts w:eastAsiaTheme="minorHAnsi" w:cs="Times New Roman"/>
        </w:rPr>
        <w:t xml:space="preserve">under the Equal Access Rule </w:t>
      </w:r>
      <w:r w:rsidRPr="006E1C40">
        <w:rPr>
          <w:rFonts w:eastAsiaTheme="minorHAnsi" w:cs="Times New Roman"/>
        </w:rPr>
        <w:t xml:space="preserve">are at 24 CFR 5.100. </w:t>
      </w:r>
    </w:p>
    <w:p w14:paraId="3991BFD2" w14:textId="12E9F7A4" w:rsidR="00A636F9" w:rsidRPr="006E1C40" w:rsidRDefault="00A636F9" w:rsidP="009B2F32">
      <w:pPr>
        <w:autoSpaceDE w:val="0"/>
        <w:autoSpaceDN w:val="0"/>
        <w:adjustRightInd w:val="0"/>
        <w:rPr>
          <w:rFonts w:eastAsiaTheme="minorHAnsi" w:cs="Times New Roman"/>
        </w:rPr>
      </w:pPr>
      <w:r>
        <w:rPr>
          <w:rFonts w:eastAsiaTheme="minorHAnsi" w:cs="Times New Roman"/>
        </w:rPr>
        <w:t xml:space="preserve">In addition, the Fair Housing Act prohibits discrimination in housing and housing-related services because of sex, which includes discrimination because of sexual orientation or gender identity.  </w:t>
      </w:r>
    </w:p>
    <w:p w14:paraId="0D96CC4F" w14:textId="4A857BD0" w:rsidR="001758A1" w:rsidRPr="00A0638A" w:rsidRDefault="001758A1" w:rsidP="00C87CF0">
      <w:pPr>
        <w:spacing w:after="0"/>
        <w:ind w:left="360"/>
        <w:rPr>
          <w:rFonts w:cs="Times New Roman"/>
        </w:rPr>
      </w:pPr>
    </w:p>
    <w:p w14:paraId="5FC2A8C1" w14:textId="55245438" w:rsidR="000079C9" w:rsidRPr="00C87CF0" w:rsidRDefault="00E0334F" w:rsidP="00C87CF0">
      <w:pPr>
        <w:pStyle w:val="Heading1"/>
        <w:ind w:left="360"/>
        <w:rPr>
          <w:b w:val="0"/>
        </w:rPr>
      </w:pPr>
      <w:r w:rsidRPr="00C87CF0">
        <w:t>Ensuring the Participation of Small Disadvantaged Businesses, and Women-</w:t>
      </w:r>
      <w:r w:rsidR="000079C9" w:rsidRPr="00C87CF0">
        <w:t>Owned Business</w:t>
      </w:r>
      <w:r w:rsidR="008B29E7" w:rsidRPr="00C87CF0">
        <w:t>es</w:t>
      </w:r>
      <w:r w:rsidR="000079C9" w:rsidRPr="00C87CF0">
        <w:t xml:space="preserve">. </w:t>
      </w:r>
    </w:p>
    <w:p w14:paraId="5FD8DBFA" w14:textId="08B575AF" w:rsidR="00E0334F" w:rsidRPr="006E1C40" w:rsidRDefault="00E0334F" w:rsidP="000079C9">
      <w:pPr>
        <w:autoSpaceDE w:val="0"/>
        <w:autoSpaceDN w:val="0"/>
        <w:adjustRightInd w:val="0"/>
        <w:rPr>
          <w:rFonts w:eastAsiaTheme="minorHAnsi" w:cs="Times New Roman"/>
        </w:rPr>
      </w:pPr>
      <w:r w:rsidRPr="006E1C40">
        <w:rPr>
          <w:rFonts w:eastAsiaTheme="minorHAnsi" w:cs="Times New Roman"/>
        </w:rPr>
        <w:t>HUD is committed to ensuring that small businesses</w:t>
      </w:r>
      <w:r w:rsidR="00B90940">
        <w:rPr>
          <w:rFonts w:eastAsiaTheme="minorHAnsi" w:cs="Times New Roman"/>
        </w:rPr>
        <w:t>;</w:t>
      </w:r>
      <w:r w:rsidRPr="006E1C40">
        <w:rPr>
          <w:rFonts w:eastAsiaTheme="minorHAnsi" w:cs="Times New Roman"/>
        </w:rPr>
        <w:t xml:space="preserve"> </w:t>
      </w:r>
      <w:r w:rsidR="00ED790F" w:rsidRPr="006E1C40">
        <w:rPr>
          <w:rFonts w:eastAsiaTheme="minorHAnsi" w:cs="Times New Roman"/>
        </w:rPr>
        <w:t>small, disadvantaged</w:t>
      </w:r>
      <w:r w:rsidRPr="006E1C40">
        <w:rPr>
          <w:rFonts w:eastAsiaTheme="minorHAnsi" w:cs="Times New Roman"/>
        </w:rPr>
        <w:t xml:space="preserve"> businesses</w:t>
      </w:r>
      <w:r w:rsidR="00746FDA">
        <w:rPr>
          <w:rFonts w:eastAsiaTheme="minorHAnsi" w:cs="Times New Roman"/>
        </w:rPr>
        <w:t>;</w:t>
      </w:r>
      <w:r w:rsidRPr="006E1C40">
        <w:rPr>
          <w:rFonts w:eastAsiaTheme="minorHAnsi" w:cs="Times New Roman"/>
        </w:rPr>
        <w:t xml:space="preserve"> women-owned businesses</w:t>
      </w:r>
      <w:r w:rsidR="00B90940">
        <w:rPr>
          <w:rFonts w:eastAsiaTheme="minorHAnsi" w:cs="Times New Roman"/>
        </w:rPr>
        <w:t>;</w:t>
      </w:r>
      <w:r w:rsidRPr="006E1C40">
        <w:rPr>
          <w:rFonts w:eastAsiaTheme="minorHAnsi" w:cs="Times New Roman"/>
        </w:rPr>
        <w:t xml:space="preserve"> and Labor Surplus Area Firms participate fully in the direct contracting and contracting opportunities generated by HUD’s financial assistance. Recipients and subrecipients are required by 2 CFR 200.321 to take all necessary affirmative steps to assure that minority businesses, women's business enterprises, and Labor Surplus Area Firms are used whenever possible. </w:t>
      </w:r>
    </w:p>
    <w:p w14:paraId="363F74A1" w14:textId="670C884C" w:rsidR="00E0334F" w:rsidRPr="006E1C40" w:rsidRDefault="008E718A" w:rsidP="00437FD8">
      <w:pPr>
        <w:autoSpaceDE w:val="0"/>
        <w:autoSpaceDN w:val="0"/>
        <w:adjustRightInd w:val="0"/>
        <w:rPr>
          <w:rFonts w:eastAsia="Times New Roman" w:cs="Times New Roman"/>
          <w:color w:val="0000FF"/>
          <w:u w:val="single"/>
        </w:rPr>
      </w:pPr>
      <w:r>
        <w:rPr>
          <w:rFonts w:eastAsia="Times New Roman" w:cs="Times New Roman"/>
        </w:rPr>
        <w:t xml:space="preserve"> </w:t>
      </w:r>
    </w:p>
    <w:p w14:paraId="4BA2DD0D" w14:textId="3046DB46" w:rsidR="00292D4B" w:rsidRPr="00C326A8" w:rsidRDefault="00292D4B" w:rsidP="00C87CF0">
      <w:pPr>
        <w:pStyle w:val="Heading1"/>
        <w:ind w:left="360"/>
      </w:pPr>
      <w:r w:rsidRPr="00C87CF0">
        <w:lastRenderedPageBreak/>
        <w:t>Energy Efficient, Sustainable, Accessible, and Free from Discrimination by Design.</w:t>
      </w:r>
    </w:p>
    <w:p w14:paraId="42071650" w14:textId="77777777" w:rsidR="00292D4B" w:rsidRPr="00C326A8" w:rsidRDefault="00292D4B" w:rsidP="00292D4B">
      <w:pPr>
        <w:autoSpaceDE w:val="0"/>
        <w:autoSpaceDN w:val="0"/>
        <w:adjustRightInd w:val="0"/>
      </w:pPr>
      <w:r w:rsidRPr="00C326A8">
        <w:t>Executive Order 14008, “Tackling the Climate Crisis at Home and Abroad,” directs HUD to deploy its full capacity to reduce pollution, increase resilience, and conserve water, as well as align its management of real property and financial programs to support robust climate action. In addition, the Presidential Memorandum “Redressing Our Nation's and the Federal Government's History of Discriminatory Housing Practices and Policies” (86 FR 7487) directs HUD to ensure sufficient physically accessible housing, and secure equal access to housing opportunity for all.</w:t>
      </w:r>
    </w:p>
    <w:p w14:paraId="24EFC5B1" w14:textId="2AB213CA" w:rsidR="00292D4B" w:rsidRPr="00C326A8" w:rsidRDefault="00292D4B" w:rsidP="00292D4B">
      <w:pPr>
        <w:autoSpaceDE w:val="0"/>
        <w:autoSpaceDN w:val="0"/>
        <w:adjustRightInd w:val="0"/>
      </w:pPr>
      <w:r w:rsidRPr="31D21300">
        <w:t xml:space="preserve">Housing constructed, rehabilitated, and/or acquired with HUD funds should (following rehabilitation, if necessary) be well-designed, energy- and water-efficient, sustainable, accessible, and free from discrimination. Housing </w:t>
      </w:r>
      <w:r w:rsidR="00B31324" w:rsidRPr="00B31324">
        <w:t>should, where practicable</w:t>
      </w:r>
      <w:r w:rsidR="00042609">
        <w:t>,</w:t>
      </w:r>
      <w:r w:rsidRPr="31D21300">
        <w:t xml:space="preserve"> prioritize location efficiency; be resistant to local disaster risks; have healthy indoor air quality; embrace the tenets of accessible design, including concepts of </w:t>
      </w:r>
      <w:r w:rsidR="006F0214">
        <w:t>visitability</w:t>
      </w:r>
      <w:r w:rsidRPr="31D21300">
        <w:t xml:space="preserve">and universal design; have access to affordable broadband </w:t>
      </w:r>
      <w:r w:rsidR="00425306">
        <w:t>i</w:t>
      </w:r>
      <w:r w:rsidRPr="31D21300">
        <w:t>nternet for residents; and use native plant species in landscape design.</w:t>
      </w:r>
    </w:p>
    <w:p w14:paraId="1D7FEDD8" w14:textId="115495E4" w:rsidR="00292D4B" w:rsidRPr="00C326A8" w:rsidRDefault="00292D4B" w:rsidP="00292D4B">
      <w:pPr>
        <w:autoSpaceDE w:val="0"/>
        <w:autoSpaceDN w:val="0"/>
        <w:adjustRightInd w:val="0"/>
      </w:pPr>
      <w:r w:rsidRPr="31D21300">
        <w:t xml:space="preserve">All new construction and/or feasible substantial rehabilitation should meet a Green and Resilient Building Standard and </w:t>
      </w:r>
      <w:r w:rsidR="00E60444">
        <w:t>should</w:t>
      </w:r>
      <w:r w:rsidR="0085295D">
        <w:t xml:space="preserve"> </w:t>
      </w:r>
      <w:r w:rsidRPr="31D21300">
        <w:t xml:space="preserve">adhere to Elevation Standards </w:t>
      </w:r>
      <w:r w:rsidRPr="31D21300">
        <w:rPr>
          <w:rFonts w:cs="Times New Roman"/>
          <w:b/>
          <w:bCs/>
        </w:rPr>
        <w:t xml:space="preserve">(as described below) </w:t>
      </w:r>
      <w:r w:rsidRPr="31D21300">
        <w:t>for structures in a 100-year floodplain. When older or obsolete products are replaced as part of rehabilitation work, rehabilitation should use ENERGY STAR-labeled, Water Sense-labeled, or Federal Energy Management Program (FEMP)-designated products and appliances.</w:t>
      </w:r>
    </w:p>
    <w:p w14:paraId="7CFA49F0" w14:textId="74C5E203" w:rsidR="00891B5D" w:rsidRDefault="00891B5D" w:rsidP="00B143DC">
      <w:pPr>
        <w:pStyle w:val="ListParagraph"/>
        <w:numPr>
          <w:ilvl w:val="0"/>
          <w:numId w:val="41"/>
        </w:numPr>
        <w:ind w:left="360" w:firstLine="0"/>
        <w:rPr>
          <w:rFonts w:cs="Times New Roman"/>
          <w:szCs w:val="24"/>
        </w:rPr>
      </w:pPr>
      <w:r w:rsidRPr="00526DF2">
        <w:rPr>
          <w:rFonts w:cs="Times New Roman"/>
          <w:b/>
          <w:bCs/>
          <w:szCs w:val="24"/>
        </w:rPr>
        <w:t xml:space="preserve">Green and Resilient Building Standard </w:t>
      </w:r>
      <w:r w:rsidRPr="00C87CF0">
        <w:rPr>
          <w:rFonts w:cs="Times New Roman"/>
          <w:szCs w:val="24"/>
        </w:rPr>
        <w:t>means</w:t>
      </w:r>
      <w:r w:rsidRPr="00526DF2">
        <w:rPr>
          <w:rFonts w:cs="Times New Roman"/>
          <w:szCs w:val="24"/>
        </w:rPr>
        <w:t xml:space="preserve"> an industry-recognized standard that (1) has achieved certification under (i) Enterprise Green Communities, (ii) LEED (New Construction, Homes, Midrise, Existing Buildings Operations and Maintenance, or Neighborhood Development), (iii) ICC-700 National Green Building Standard Green+ Resilience; or the (iv) Living Building Challenge, or (v) any other equivalent comprehensive green building program acceptable to HUD, and (2) has achieved a minimum energy efficiency standard, such as (i) ENERGY STAR (Certified Homes or Multifamily High-Rise), (ii) DOE Zero Energy Ready Home; (iii) regional or local certifications such as Earth Craft House, Earth Craft Multifamily; Greenpoint Rated New Home, Greenpoint Rated Existing Home (Whole House or Whole Building label);  Earth Advantage New Homes; (iv) Passive House Institute Passive Building or EnerPHit certification from the Passive House Institute US (PHIUS), International Passive House Association.</w:t>
      </w:r>
    </w:p>
    <w:p w14:paraId="667C966E" w14:textId="77777777" w:rsidR="00526DF2" w:rsidRPr="00526DF2" w:rsidRDefault="00526DF2" w:rsidP="00C87CF0">
      <w:pPr>
        <w:pStyle w:val="ListParagraph"/>
        <w:ind w:left="360"/>
        <w:rPr>
          <w:rFonts w:cs="Times New Roman"/>
          <w:szCs w:val="24"/>
        </w:rPr>
      </w:pPr>
    </w:p>
    <w:p w14:paraId="1E1242F4" w14:textId="2C657801" w:rsidR="00292D4B" w:rsidRPr="00526DF2" w:rsidRDefault="00292D4B" w:rsidP="00C87CF0">
      <w:pPr>
        <w:pStyle w:val="ListParagraph"/>
        <w:numPr>
          <w:ilvl w:val="0"/>
          <w:numId w:val="41"/>
        </w:numPr>
        <w:autoSpaceDE w:val="0"/>
        <w:autoSpaceDN w:val="0"/>
        <w:adjustRightInd w:val="0"/>
        <w:ind w:left="360" w:firstLine="0"/>
        <w:rPr>
          <w:rFonts w:cs="Times New Roman"/>
          <w:b/>
          <w:bCs/>
        </w:rPr>
      </w:pPr>
      <w:r w:rsidRPr="00526DF2">
        <w:rPr>
          <w:rFonts w:cs="Times New Roman"/>
          <w:b/>
          <w:bCs/>
        </w:rPr>
        <w:t xml:space="preserve">Adhering to Elevation Standards </w:t>
      </w:r>
      <w:r w:rsidRPr="00C87CF0">
        <w:rPr>
          <w:rFonts w:cs="Times New Roman"/>
        </w:rPr>
        <w:t>means</w:t>
      </w:r>
      <w:r w:rsidRPr="00526DF2">
        <w:rPr>
          <w:rFonts w:cs="Times New Roman"/>
          <w:b/>
          <w:bCs/>
        </w:rPr>
        <w:t xml:space="preserve"> </w:t>
      </w:r>
      <w:r w:rsidR="00B74136">
        <w:rPr>
          <w:rFonts w:cs="Times New Roman"/>
        </w:rPr>
        <w:t>a</w:t>
      </w:r>
      <w:r w:rsidRPr="00526DF2">
        <w:rPr>
          <w:rFonts w:cs="Times New Roman"/>
        </w:rPr>
        <w:t xml:space="preserve">ll structures, as defined at 44 CFR 59.1, designed principally for residential use, and located in the 1 percent annual chance (or 100-year) floodplain, that receive assistance for new construction, repair of substantial damage, or substantial improvement, as defined at 24 CFR 55.2(b)(10), must be elevated with the lowest floor, including the basement, at least two feet above the </w:t>
      </w:r>
      <w:r w:rsidR="001959C5">
        <w:rPr>
          <w:rFonts w:cs="Times New Roman"/>
        </w:rPr>
        <w:t>one</w:t>
      </w:r>
      <w:r w:rsidRPr="00526DF2">
        <w:rPr>
          <w:rFonts w:cs="Times New Roman"/>
        </w:rPr>
        <w:t xml:space="preserve"> percent annual chance floodplain elevation (base flood elevation). Mixed-use structures with no dwelling units and no residents below two feet above base flood elevation, must be elevated or floodproofed, in accordance with FEMA floodproofing standards at 44 CFR 60.3(c)(3)(ii) </w:t>
      </w:r>
      <w:r w:rsidR="00A419CC">
        <w:rPr>
          <w:rFonts w:cs="Times New Roman"/>
        </w:rPr>
        <w:t xml:space="preserve">and </w:t>
      </w:r>
      <w:r w:rsidR="00A419CC">
        <w:t>60.3(c)(4)(i)</w:t>
      </w:r>
      <w:r w:rsidR="00A419CC" w:rsidRPr="00526DF2">
        <w:rPr>
          <w:rFonts w:cs="Times New Roman"/>
        </w:rPr>
        <w:t xml:space="preserve"> </w:t>
      </w:r>
      <w:r w:rsidRPr="00526DF2">
        <w:rPr>
          <w:rFonts w:cs="Times New Roman"/>
        </w:rPr>
        <w:t>or successor standard, up to at least two feet above base flood elevation. These elevation standards apply to new construction, repair of substantial damage, or substantial improvement of residential structures located in an area delineated as a special flood hazard area or equivalent in FEMA’s data sources identified in</w:t>
      </w:r>
      <w:r w:rsidR="00B269B6">
        <w:rPr>
          <w:rFonts w:cs="Times New Roman"/>
        </w:rPr>
        <w:t xml:space="preserve"> 24 CFR 55.2(b)(1).</w:t>
      </w:r>
      <w:r w:rsidR="003E1F97">
        <w:rPr>
          <w:rFonts w:cs="Times New Roman"/>
        </w:rPr>
        <w:t xml:space="preserve"> </w:t>
      </w:r>
      <w:r w:rsidRPr="00526DF2">
        <w:rPr>
          <w:rFonts w:cs="Times New Roman"/>
        </w:rPr>
        <w:t xml:space="preserve"> 24 CFR 55.2(b)(10)(ii)(B)</w:t>
      </w:r>
      <w:r w:rsidR="006B5827">
        <w:rPr>
          <w:rFonts w:cs="Times New Roman"/>
        </w:rPr>
        <w:t xml:space="preserve"> </w:t>
      </w:r>
      <w:r w:rsidRPr="00526DF2">
        <w:rPr>
          <w:rFonts w:cs="Times New Roman"/>
        </w:rPr>
        <w:t>excludes from the definition of substantial improvement “Any alteration of a structure listed on the National Register of Historical Places or on a State Inventory of Historic Places.”</w:t>
      </w:r>
    </w:p>
    <w:p w14:paraId="3B6A2539" w14:textId="2BE8CA7D" w:rsidR="00E0334F" w:rsidRPr="00BE669E" w:rsidRDefault="00E0334F" w:rsidP="00C87CF0">
      <w:pPr>
        <w:pStyle w:val="Heading1"/>
        <w:ind w:left="360"/>
      </w:pPr>
      <w:r w:rsidRPr="00C87CF0">
        <w:lastRenderedPageBreak/>
        <w:t xml:space="preserve">Real </w:t>
      </w:r>
      <w:r w:rsidR="007028D5">
        <w:t>Estate</w:t>
      </w:r>
      <w:r w:rsidR="007028D5" w:rsidRPr="00C87CF0">
        <w:t xml:space="preserve"> </w:t>
      </w:r>
      <w:r w:rsidRPr="00C87CF0">
        <w:t xml:space="preserve">Acquisition and Relocation. </w:t>
      </w:r>
    </w:p>
    <w:p w14:paraId="7222C249" w14:textId="4BB98937" w:rsidR="00E0334F" w:rsidRPr="006E1C40" w:rsidRDefault="00E86297" w:rsidP="00E0334F">
      <w:pPr>
        <w:autoSpaceDE w:val="0"/>
        <w:autoSpaceDN w:val="0"/>
        <w:adjustRightInd w:val="0"/>
        <w:rPr>
          <w:rFonts w:eastAsiaTheme="minorHAnsi" w:cs="Times New Roman"/>
        </w:rPr>
      </w:pPr>
      <w:r w:rsidRPr="006E1C40">
        <w:rPr>
          <w:rFonts w:eastAsiaTheme="minorHAnsi" w:cs="Times New Roman"/>
        </w:rPr>
        <w:t xml:space="preserve">With certain exceptions, </w:t>
      </w:r>
      <w:r w:rsidR="00E0334F" w:rsidRPr="006E1C40">
        <w:rPr>
          <w:rFonts w:eastAsiaTheme="minorHAnsi" w:cs="Times New Roman"/>
        </w:rPr>
        <w:t>HUD-funded programs or projects are subject to the Uniform Relocation Assistance and Real Property Acquisition Policies Act of 1970, as amended (URA) (42 U.S.C.</w:t>
      </w:r>
      <w:r w:rsidR="00FB12D8" w:rsidRPr="006E1C40">
        <w:rPr>
          <w:rFonts w:eastAsiaTheme="minorHAnsi" w:cs="Times New Roman"/>
        </w:rPr>
        <w:t xml:space="preserve"> §§</w:t>
      </w:r>
      <w:r w:rsidR="00E0334F" w:rsidRPr="006E1C40">
        <w:rPr>
          <w:rFonts w:eastAsiaTheme="minorHAnsi" w:cs="Times New Roman"/>
        </w:rPr>
        <w:t xml:space="preserve"> 4601 </w:t>
      </w:r>
      <w:r w:rsidR="00966D56" w:rsidRPr="006E1C40">
        <w:rPr>
          <w:rFonts w:eastAsiaTheme="minorHAnsi" w:cs="Times New Roman"/>
        </w:rPr>
        <w:t>et seq.</w:t>
      </w:r>
      <w:r w:rsidR="00E0334F" w:rsidRPr="006E1C40">
        <w:rPr>
          <w:rFonts w:eastAsiaTheme="minorHAnsi" w:cs="Times New Roman"/>
        </w:rPr>
        <w:t xml:space="preserve">), and the government-wide implementing regulations issued by the Federal Highway Administration at 49 CFR part 24. The </w:t>
      </w:r>
      <w:r w:rsidR="00FF48F0" w:rsidRPr="006E1C40">
        <w:rPr>
          <w:rFonts w:eastAsiaTheme="minorHAnsi" w:cs="Times New Roman"/>
        </w:rPr>
        <w:t xml:space="preserve">URA </w:t>
      </w:r>
      <w:r w:rsidR="00E0334F" w:rsidRPr="006E1C40">
        <w:rPr>
          <w:rFonts w:eastAsiaTheme="minorHAnsi" w:cs="Times New Roman"/>
        </w:rPr>
        <w:t xml:space="preserve">applies to acquisitions of real property and relocation occurring as a direct result of the acquisition, rehabilitation, or demolition of real property for Federal or </w:t>
      </w:r>
      <w:r w:rsidR="00561FF0">
        <w:rPr>
          <w:rFonts w:eastAsiaTheme="minorHAnsi" w:cs="Times New Roman"/>
        </w:rPr>
        <w:t>F</w:t>
      </w:r>
      <w:r w:rsidR="000C323C" w:rsidRPr="006E1C40">
        <w:rPr>
          <w:rFonts w:eastAsiaTheme="minorHAnsi" w:cs="Times New Roman"/>
        </w:rPr>
        <w:t>ederally funded</w:t>
      </w:r>
      <w:r w:rsidR="00E0334F" w:rsidRPr="006E1C40">
        <w:rPr>
          <w:rFonts w:eastAsiaTheme="minorHAnsi" w:cs="Times New Roman"/>
        </w:rPr>
        <w:t xml:space="preserve"> programs or projects. </w:t>
      </w:r>
    </w:p>
    <w:p w14:paraId="3E9EC7B8" w14:textId="27D1EE6E" w:rsidR="004C1FB1" w:rsidRPr="006E1C40" w:rsidRDefault="00BF4745" w:rsidP="00E0334F">
      <w:pPr>
        <w:autoSpaceDE w:val="0"/>
        <w:autoSpaceDN w:val="0"/>
        <w:adjustRightInd w:val="0"/>
        <w:rPr>
          <w:rFonts w:eastAsiaTheme="minorHAnsi" w:cs="Times New Roman"/>
        </w:rPr>
      </w:pPr>
      <w:r w:rsidRPr="006E1C40">
        <w:rPr>
          <w:rFonts w:eastAsiaTheme="minorHAnsi" w:cs="Times New Roman"/>
        </w:rPr>
        <w:t xml:space="preserve">Generally, real property acquisition that receives </w:t>
      </w:r>
      <w:r w:rsidR="00D32E24">
        <w:rPr>
          <w:rFonts w:eastAsiaTheme="minorHAnsi" w:cs="Times New Roman"/>
        </w:rPr>
        <w:t>F</w:t>
      </w:r>
      <w:r w:rsidRPr="006E1C40">
        <w:rPr>
          <w:rFonts w:eastAsiaTheme="minorHAnsi" w:cs="Times New Roman"/>
        </w:rPr>
        <w:t>ederal financial assistance for a program or project, as defined in 49 CFR 24.2, must comply with the acquisition requirements contained in 49 CFR part 24, subpart B.</w:t>
      </w:r>
      <w:r w:rsidR="00E0334F" w:rsidRPr="006E1C40">
        <w:rPr>
          <w:rFonts w:eastAsiaTheme="minorHAnsi" w:cs="Times New Roman"/>
        </w:rPr>
        <w:t xml:space="preserve"> </w:t>
      </w:r>
      <w:r w:rsidR="00C16365" w:rsidRPr="006E1C40">
        <w:rPr>
          <w:rFonts w:eastAsiaTheme="minorHAnsi" w:cs="Times New Roman"/>
        </w:rPr>
        <w:t xml:space="preserve"> </w:t>
      </w:r>
      <w:r w:rsidR="00B81644" w:rsidRPr="006E1C40">
        <w:rPr>
          <w:rFonts w:eastAsiaTheme="minorHAnsi" w:cs="Times New Roman"/>
        </w:rPr>
        <w:t>If real property acquisitions satisfy one of the acquisition requirements of 49 CFR 24.101(b)(1) through (5), then the real property acquisitions will not be subject to the requirements in 49 CFR part 24, subpart B.</w:t>
      </w:r>
    </w:p>
    <w:p w14:paraId="0A7B2319" w14:textId="3BB4B792" w:rsidR="00E0334F" w:rsidRPr="006E1C40" w:rsidRDefault="00E0334F" w:rsidP="00E0334F">
      <w:pPr>
        <w:autoSpaceDE w:val="0"/>
        <w:autoSpaceDN w:val="0"/>
        <w:adjustRightInd w:val="0"/>
        <w:rPr>
          <w:rFonts w:cs="Times New Roman"/>
        </w:rPr>
      </w:pPr>
      <w:r w:rsidRPr="431360F5">
        <w:rPr>
          <w:rFonts w:cs="Times New Roman"/>
        </w:rPr>
        <w:t xml:space="preserve">The relocation requirements of the </w:t>
      </w:r>
      <w:r w:rsidR="00FF48F0" w:rsidRPr="431360F5">
        <w:rPr>
          <w:rFonts w:cs="Times New Roman"/>
        </w:rPr>
        <w:t xml:space="preserve">URA </w:t>
      </w:r>
      <w:r w:rsidRPr="431360F5">
        <w:rPr>
          <w:rFonts w:cs="Times New Roman"/>
        </w:rPr>
        <w:t xml:space="preserve">and its implementing regulations at 49 CFR part 24, cover any </w:t>
      </w:r>
      <w:r w:rsidR="4580D9C6" w:rsidRPr="1FCAC51B">
        <w:rPr>
          <w:rFonts w:cs="Times New Roman"/>
        </w:rPr>
        <w:t xml:space="preserve">displaced </w:t>
      </w:r>
      <w:r w:rsidRPr="1FCAC51B">
        <w:rPr>
          <w:rFonts w:cs="Times New Roman"/>
        </w:rPr>
        <w:t>person</w:t>
      </w:r>
      <w:r w:rsidRPr="431360F5">
        <w:rPr>
          <w:rFonts w:cs="Times New Roman"/>
        </w:rPr>
        <w:t xml:space="preserve"> who moves from real property or moves personal property from real property as a direct result of acquisition, rehabilitation, or demolition for a program or project receiving HUD assistance. While there are no URA statutory provisions for “temporary relocation</w:t>
      </w:r>
      <w:r w:rsidR="00B90940">
        <w:rPr>
          <w:rFonts w:cs="Times New Roman"/>
        </w:rPr>
        <w:t>,</w:t>
      </w:r>
      <w:r w:rsidR="00B90940" w:rsidRPr="431360F5">
        <w:rPr>
          <w:rFonts w:cs="Times New Roman"/>
        </w:rPr>
        <w:t>”</w:t>
      </w:r>
      <w:r w:rsidRPr="431360F5">
        <w:rPr>
          <w:rFonts w:cs="Times New Roman"/>
        </w:rPr>
        <w:t xml:space="preserve"> the URA regulations recognize that there are circumstances where a person will not be permanently displaced but may need to be moved from a project for a short period of time. Appendix A of the URA regulation (49 CFR 24.2(a)(9)(ii)(D)) explains that any tenant who has been temporarily relocated for a period beyond one year must be contacted by the displacing agency and offered URA permanent relocation assistance. Some HUD program regulations provide additional protections for temporarily relocated tenants. Before planning their project, applicants must review the regulations for the programs to which they are applying. Individual </w:t>
      </w:r>
      <w:r w:rsidR="004140D8" w:rsidRPr="431360F5">
        <w:rPr>
          <w:rFonts w:cs="Times New Roman"/>
        </w:rPr>
        <w:t>NOFO</w:t>
      </w:r>
      <w:r w:rsidRPr="431360F5">
        <w:rPr>
          <w:rFonts w:cs="Times New Roman"/>
        </w:rPr>
        <w:t xml:space="preserve">s may have additional relocation guidance and requirements. </w:t>
      </w:r>
    </w:p>
    <w:p w14:paraId="17439298" w14:textId="6524B6D3" w:rsidR="00E0334F" w:rsidRPr="006E1C40" w:rsidRDefault="00E0334F" w:rsidP="00437FD8">
      <w:pPr>
        <w:autoSpaceDE w:val="0"/>
        <w:autoSpaceDN w:val="0"/>
        <w:adjustRightInd w:val="0"/>
        <w:rPr>
          <w:rFonts w:eastAsiaTheme="minorHAnsi" w:cs="Times New Roman"/>
        </w:rPr>
      </w:pPr>
      <w:r w:rsidRPr="006E1C40">
        <w:rPr>
          <w:rFonts w:eastAsiaTheme="minorHAnsi" w:cs="Times New Roman"/>
        </w:rPr>
        <w:t xml:space="preserve">Additional resources and guidance pertaining to real property acquisition and relocation for </w:t>
      </w:r>
      <w:r w:rsidR="00F823E6" w:rsidRPr="006E1C40">
        <w:rPr>
          <w:rFonts w:eastAsiaTheme="minorHAnsi" w:cs="Times New Roman"/>
        </w:rPr>
        <w:t xml:space="preserve">HUD-funded programs and projects are available on HUD’s Real Estate Acquisition </w:t>
      </w:r>
      <w:r w:rsidRPr="006E1C40">
        <w:rPr>
          <w:rFonts w:eastAsiaTheme="minorHAnsi" w:cs="Times New Roman"/>
        </w:rPr>
        <w:t xml:space="preserve">and Relocation website at www.hud.gov/relocation. Applicable laws and regulations, policy and guidance, publications, training resources, and a listing of HUD contacts are also available for applicants who have questions or </w:t>
      </w:r>
      <w:r w:rsidR="00F823E6" w:rsidRPr="006E1C40">
        <w:rPr>
          <w:rFonts w:eastAsiaTheme="minorHAnsi" w:cs="Times New Roman"/>
        </w:rPr>
        <w:t>need</w:t>
      </w:r>
      <w:r w:rsidRPr="006E1C40">
        <w:rPr>
          <w:rFonts w:eastAsiaTheme="minorHAnsi" w:cs="Times New Roman"/>
        </w:rPr>
        <w:t xml:space="preserve"> assistance. </w:t>
      </w:r>
    </w:p>
    <w:p w14:paraId="165B8F90" w14:textId="32B002C2" w:rsidR="00E0334F" w:rsidRPr="00BE669E" w:rsidRDefault="00E0334F" w:rsidP="00C87CF0">
      <w:pPr>
        <w:pStyle w:val="Heading1"/>
        <w:ind w:left="360"/>
      </w:pPr>
      <w:r w:rsidRPr="00C87CF0">
        <w:t xml:space="preserve">Participation in a HUD-Sponsored Program Evaluation. </w:t>
      </w:r>
    </w:p>
    <w:p w14:paraId="519F3F95" w14:textId="4641B5AB" w:rsidR="00E0334F" w:rsidRPr="006E1C40" w:rsidRDefault="00E0334F" w:rsidP="00E0334F">
      <w:pPr>
        <w:autoSpaceDE w:val="0"/>
        <w:autoSpaceDN w:val="0"/>
        <w:adjustRightInd w:val="0"/>
        <w:rPr>
          <w:rFonts w:eastAsiaTheme="minorHAnsi" w:cs="Times New Roman"/>
        </w:rPr>
      </w:pPr>
      <w:r w:rsidRPr="006E1C40">
        <w:rPr>
          <w:rFonts w:eastAsiaTheme="minorHAnsi" w:cs="Times New Roman"/>
        </w:rPr>
        <w:t xml:space="preserve">As a condition of the receipt of </w:t>
      </w:r>
      <w:r w:rsidR="001E7377" w:rsidRPr="006E1C40">
        <w:rPr>
          <w:rFonts w:eastAsiaTheme="minorHAnsi" w:cs="Times New Roman"/>
        </w:rPr>
        <w:t xml:space="preserve">the award </w:t>
      </w:r>
      <w:r w:rsidRPr="006E1C40">
        <w:rPr>
          <w:rFonts w:eastAsiaTheme="minorHAnsi" w:cs="Times New Roman"/>
        </w:rPr>
        <w:t xml:space="preserve">under a </w:t>
      </w:r>
      <w:r w:rsidR="0003106C" w:rsidRPr="006E1C40">
        <w:rPr>
          <w:rFonts w:eastAsiaTheme="minorHAnsi" w:cs="Times New Roman"/>
        </w:rPr>
        <w:t>NOFO</w:t>
      </w:r>
      <w:r w:rsidR="000C323C" w:rsidRPr="006E1C40">
        <w:rPr>
          <w:rFonts w:eastAsiaTheme="minorHAnsi" w:cs="Times New Roman"/>
        </w:rPr>
        <w:t>, the</w:t>
      </w:r>
      <w:r w:rsidR="00724249" w:rsidRPr="006E1C40">
        <w:rPr>
          <w:rFonts w:eastAsiaTheme="minorHAnsi" w:cs="Times New Roman"/>
        </w:rPr>
        <w:t xml:space="preserve"> recipient is</w:t>
      </w:r>
      <w:r w:rsidRPr="006E1C40">
        <w:rPr>
          <w:rFonts w:eastAsiaTheme="minorHAnsi" w:cs="Times New Roman"/>
        </w:rPr>
        <w:t xml:space="preserve"> required to cooperate with all HUD staff, contractors, or designated grantees performing research or evaluation studies funded by HUD. </w:t>
      </w:r>
    </w:p>
    <w:p w14:paraId="655720C7" w14:textId="6E26E1AC" w:rsidR="00E0334F" w:rsidRPr="00C87CF0" w:rsidRDefault="00E0334F" w:rsidP="00C87CF0">
      <w:pPr>
        <w:pStyle w:val="Heading1"/>
        <w:ind w:left="360"/>
      </w:pPr>
      <w:r w:rsidRPr="00C87CF0">
        <w:t xml:space="preserve">OMB Administrative Requirements, Cost Principles, and Audit Requirements for Federal Awards. </w:t>
      </w:r>
    </w:p>
    <w:p w14:paraId="0C9170D8" w14:textId="4A2382F2" w:rsidR="00292D4B" w:rsidRPr="006E1C40" w:rsidRDefault="00292D4B" w:rsidP="00292D4B">
      <w:pPr>
        <w:autoSpaceDE w:val="0"/>
        <w:autoSpaceDN w:val="0"/>
        <w:adjustRightInd w:val="0"/>
        <w:rPr>
          <w:rFonts w:cs="Times New Roman"/>
        </w:rPr>
      </w:pPr>
      <w:r w:rsidRPr="6AD065B1">
        <w:rPr>
          <w:rFonts w:cs="Times New Roman"/>
        </w:rPr>
        <w:t xml:space="preserve">Uniform Administrative Requirements, Cost Principles, and Audit Requirements for Federal Awards, set forth in 2 CFR part 200, apply, except as otherwise provided by the Program NOFO or applicable program regulations. </w:t>
      </w:r>
      <w:r>
        <w:rPr>
          <w:rFonts w:cs="Times New Roman"/>
        </w:rPr>
        <w:t xml:space="preserve">However, where a program-specific regulation issued before 2020 incorporates a specific part 200 requirement that was renumbered or replaced as a result of </w:t>
      </w:r>
      <w:hyperlink r:id="rId24" w:history="1">
        <w:r w:rsidRPr="006D401C">
          <w:rPr>
            <w:rStyle w:val="Hyperlink"/>
            <w:rFonts w:cs="Times New Roman"/>
          </w:rPr>
          <w:t>85 FR 49506</w:t>
        </w:r>
      </w:hyperlink>
      <w:r>
        <w:rPr>
          <w:rFonts w:cs="Times New Roman"/>
        </w:rPr>
        <w:t xml:space="preserve"> and </w:t>
      </w:r>
      <w:hyperlink r:id="rId25" w:history="1">
        <w:r w:rsidRPr="00BB3CE1">
          <w:rPr>
            <w:rStyle w:val="Hyperlink"/>
            <w:rFonts w:cs="Times New Roman"/>
          </w:rPr>
          <w:t>86 FR 10439</w:t>
        </w:r>
      </w:hyperlink>
      <w:r w:rsidRPr="00F905B2">
        <w:rPr>
          <w:rFonts w:cs="Times New Roman"/>
        </w:rPr>
        <w:t xml:space="preserve">, </w:t>
      </w:r>
      <w:r>
        <w:rPr>
          <w:rFonts w:cs="Times New Roman"/>
        </w:rPr>
        <w:t>the</w:t>
      </w:r>
      <w:r w:rsidRPr="00F905B2">
        <w:rPr>
          <w:rFonts w:cs="Times New Roman"/>
        </w:rPr>
        <w:t xml:space="preserve"> part 200 requirement as replaced or renumbered</w:t>
      </w:r>
      <w:r>
        <w:rPr>
          <w:rFonts w:cs="Times New Roman"/>
        </w:rPr>
        <w:t xml:space="preserve"> by </w:t>
      </w:r>
      <w:r w:rsidRPr="00A97FFA">
        <w:rPr>
          <w:rFonts w:cs="Times New Roman"/>
        </w:rPr>
        <w:t>85 FR 49506 and 86 FR 10439</w:t>
      </w:r>
      <w:r>
        <w:rPr>
          <w:rFonts w:cs="Times New Roman"/>
        </w:rPr>
        <w:t xml:space="preserve"> will govern</w:t>
      </w:r>
      <w:r w:rsidRPr="00F905B2">
        <w:rPr>
          <w:rFonts w:cs="Times New Roman"/>
        </w:rPr>
        <w:t>.</w:t>
      </w:r>
      <w:r w:rsidR="00327DD6">
        <w:rPr>
          <w:rFonts w:cs="Times New Roman"/>
        </w:rPr>
        <w:t xml:space="preserve"> </w:t>
      </w:r>
      <w:r w:rsidR="00997FF5">
        <w:rPr>
          <w:rFonts w:cs="Times New Roman"/>
        </w:rPr>
        <w:t xml:space="preserve"> The requirements of 2 CFR 200.337 apply to all </w:t>
      </w:r>
      <w:r w:rsidR="00EF2074">
        <w:rPr>
          <w:rFonts w:cs="Times New Roman"/>
        </w:rPr>
        <w:t xml:space="preserve">records pertaining to </w:t>
      </w:r>
      <w:r w:rsidR="00997FF5">
        <w:rPr>
          <w:rFonts w:cs="Times New Roman"/>
        </w:rPr>
        <w:t>HUD</w:t>
      </w:r>
      <w:r w:rsidR="001030E6">
        <w:rPr>
          <w:rFonts w:cs="Times New Roman"/>
        </w:rPr>
        <w:t xml:space="preserve"> </w:t>
      </w:r>
      <w:r w:rsidR="00E61B3F">
        <w:rPr>
          <w:rFonts w:cs="Times New Roman"/>
        </w:rPr>
        <w:t>awards</w:t>
      </w:r>
      <w:r w:rsidR="00EF2074">
        <w:rPr>
          <w:rFonts w:cs="Times New Roman"/>
        </w:rPr>
        <w:t xml:space="preserve">. </w:t>
      </w:r>
    </w:p>
    <w:p w14:paraId="13C93E87" w14:textId="4828356A" w:rsidR="00E0334F" w:rsidRPr="004D7AA0" w:rsidRDefault="00E0334F" w:rsidP="00C87CF0">
      <w:pPr>
        <w:pStyle w:val="Heading1"/>
        <w:ind w:left="360"/>
      </w:pPr>
      <w:r w:rsidRPr="00C87CF0">
        <w:lastRenderedPageBreak/>
        <w:t xml:space="preserve">Drug-Free Workplace. </w:t>
      </w:r>
    </w:p>
    <w:p w14:paraId="20849AC8" w14:textId="339E31D6" w:rsidR="006D4F05" w:rsidRPr="00C87CF0" w:rsidRDefault="0081775D" w:rsidP="00C87CF0">
      <w:pPr>
        <w:rPr>
          <w:szCs w:val="24"/>
          <w:lang w:val="en"/>
        </w:rPr>
      </w:pPr>
      <w:r w:rsidRPr="00DF25EC">
        <w:rPr>
          <w:szCs w:val="24"/>
          <w:lang w:val="en"/>
        </w:rPr>
        <w:t xml:space="preserve">The following </w:t>
      </w:r>
      <w:r w:rsidR="00EB0571" w:rsidRPr="00DF25EC">
        <w:rPr>
          <w:szCs w:val="24"/>
          <w:lang w:val="en"/>
        </w:rPr>
        <w:t xml:space="preserve">award term applies to </w:t>
      </w:r>
      <w:r w:rsidR="00F61BC1" w:rsidRPr="00C87CF0">
        <w:rPr>
          <w:szCs w:val="24"/>
          <w:lang w:val="en"/>
        </w:rPr>
        <w:t xml:space="preserve">all </w:t>
      </w:r>
      <w:r w:rsidR="00A34640" w:rsidRPr="00C87CF0">
        <w:rPr>
          <w:szCs w:val="24"/>
          <w:lang w:val="en"/>
        </w:rPr>
        <w:t>recipients</w:t>
      </w:r>
      <w:r w:rsidR="002F485B" w:rsidRPr="00C87CF0">
        <w:rPr>
          <w:szCs w:val="24"/>
          <w:lang w:val="en"/>
        </w:rPr>
        <w:t xml:space="preserve">: </w:t>
      </w:r>
      <w:r w:rsidR="00C66014" w:rsidRPr="00DF25EC">
        <w:rPr>
          <w:szCs w:val="24"/>
          <w:lang w:val="en"/>
        </w:rPr>
        <w:t xml:space="preserve">You as the recipient must comply with drug-free workplace requirements in </w:t>
      </w:r>
      <w:bookmarkStart w:id="5" w:name="_Hlk111647547"/>
      <w:r w:rsidR="00C66014" w:rsidRPr="00DF25EC">
        <w:rPr>
          <w:szCs w:val="24"/>
          <w:lang w:val="en"/>
        </w:rPr>
        <w:t xml:space="preserve">Subpart B (or Subpart C, if the recipient is an individual) of </w:t>
      </w:r>
      <w:r w:rsidR="00240B51" w:rsidRPr="00C87CF0">
        <w:rPr>
          <w:szCs w:val="24"/>
          <w:lang w:val="en"/>
        </w:rPr>
        <w:t xml:space="preserve">2 CFR </w:t>
      </w:r>
      <w:r w:rsidR="00C66014" w:rsidRPr="00C87CF0">
        <w:rPr>
          <w:szCs w:val="24"/>
          <w:lang w:val="en"/>
        </w:rPr>
        <w:t>part 2429, which adopts the governmentwide implementation (2 CFR part 182) of sections 5152-5158 of the Drug-Free Workplace Act of 1988 (Pub. L. 100-690, Title V, Subtitle D; 41 U.S.C. 701-707)</w:t>
      </w:r>
      <w:bookmarkEnd w:id="5"/>
      <w:r w:rsidR="00C66014" w:rsidRPr="00C87CF0">
        <w:rPr>
          <w:szCs w:val="24"/>
          <w:lang w:val="en"/>
        </w:rPr>
        <w:t>.</w:t>
      </w:r>
    </w:p>
    <w:p w14:paraId="61EB4BF4" w14:textId="77F457DA" w:rsidR="00B90940" w:rsidRPr="00BE669E" w:rsidRDefault="00FD2B94" w:rsidP="00C87CF0">
      <w:pPr>
        <w:pStyle w:val="Heading1"/>
        <w:ind w:left="360"/>
      </w:pPr>
      <w:r>
        <w:t>Privacy Act Requirements Related to</w:t>
      </w:r>
      <w:r w:rsidR="00B90940" w:rsidRPr="00BE669E">
        <w:t xml:space="preserve"> Safeguarding Resident/Client Files.</w:t>
      </w:r>
    </w:p>
    <w:p w14:paraId="07D1CCF5" w14:textId="1AFF5161" w:rsidR="00292D4B" w:rsidRPr="005C4F6E" w:rsidRDefault="00292D4B" w:rsidP="00292D4B">
      <w:pPr>
        <w:pStyle w:val="CommentText"/>
        <w:rPr>
          <w:rFonts w:cs="Times New Roman"/>
          <w:sz w:val="24"/>
          <w:szCs w:val="24"/>
        </w:rPr>
      </w:pPr>
      <w:r w:rsidRPr="005C4F6E">
        <w:rPr>
          <w:rFonts w:cs="Times New Roman"/>
          <w:sz w:val="24"/>
          <w:szCs w:val="24"/>
        </w:rPr>
        <w:t>In maintaining resident and client files, funding recipients shall observe all applicable privacy laws, including state</w:t>
      </w:r>
      <w:r w:rsidR="00E63748">
        <w:rPr>
          <w:rFonts w:cs="Times New Roman"/>
          <w:sz w:val="24"/>
          <w:szCs w:val="24"/>
        </w:rPr>
        <w:t>,</w:t>
      </w:r>
      <w:r w:rsidRPr="005C4F6E">
        <w:rPr>
          <w:rFonts w:cs="Times New Roman"/>
          <w:sz w:val="24"/>
          <w:szCs w:val="24"/>
        </w:rPr>
        <w:t xml:space="preserve"> local</w:t>
      </w:r>
      <w:r w:rsidR="00A811DE">
        <w:rPr>
          <w:rFonts w:cs="Times New Roman"/>
          <w:sz w:val="24"/>
          <w:szCs w:val="24"/>
        </w:rPr>
        <w:t>, and tribal</w:t>
      </w:r>
      <w:r w:rsidRPr="005C4F6E">
        <w:rPr>
          <w:rFonts w:cs="Times New Roman"/>
          <w:sz w:val="24"/>
          <w:szCs w:val="24"/>
        </w:rPr>
        <w:t xml:space="preserve"> laws concerning the disclosure of records that pertain to individuals and take reasonable measures to ensure that all such files are safeguarded, including when reviewing, printing, or copying client files. </w:t>
      </w:r>
      <w:r w:rsidR="002B226D" w:rsidRPr="005C4F6E">
        <w:rPr>
          <w:rFonts w:cs="Times New Roman"/>
          <w:sz w:val="24"/>
          <w:szCs w:val="24"/>
        </w:rPr>
        <w:t xml:space="preserve">Federal requirements will apply </w:t>
      </w:r>
      <w:r w:rsidRPr="005C4F6E">
        <w:rPr>
          <w:rFonts w:cs="Times New Roman"/>
          <w:sz w:val="24"/>
          <w:szCs w:val="24"/>
        </w:rPr>
        <w:t>where state</w:t>
      </w:r>
      <w:r w:rsidR="00E63748">
        <w:rPr>
          <w:rFonts w:cs="Times New Roman"/>
          <w:sz w:val="24"/>
          <w:szCs w:val="24"/>
        </w:rPr>
        <w:t>,</w:t>
      </w:r>
      <w:r w:rsidRPr="005C4F6E">
        <w:rPr>
          <w:rFonts w:cs="Times New Roman"/>
          <w:sz w:val="24"/>
          <w:szCs w:val="24"/>
        </w:rPr>
        <w:t xml:space="preserve"> local</w:t>
      </w:r>
      <w:r w:rsidR="00D15F16">
        <w:rPr>
          <w:rFonts w:cs="Times New Roman"/>
          <w:sz w:val="24"/>
          <w:szCs w:val="24"/>
        </w:rPr>
        <w:t>,</w:t>
      </w:r>
      <w:r w:rsidR="00A811DE">
        <w:rPr>
          <w:rFonts w:cs="Times New Roman"/>
          <w:sz w:val="24"/>
          <w:szCs w:val="24"/>
        </w:rPr>
        <w:t xml:space="preserve"> </w:t>
      </w:r>
      <w:r w:rsidR="0037788D">
        <w:rPr>
          <w:rFonts w:cs="Times New Roman"/>
          <w:sz w:val="24"/>
          <w:szCs w:val="24"/>
        </w:rPr>
        <w:t>or</w:t>
      </w:r>
      <w:r w:rsidR="00D15F16">
        <w:rPr>
          <w:rFonts w:cs="Times New Roman"/>
          <w:sz w:val="24"/>
          <w:szCs w:val="24"/>
        </w:rPr>
        <w:t xml:space="preserve"> tribal</w:t>
      </w:r>
      <w:r w:rsidRPr="005C4F6E">
        <w:rPr>
          <w:rFonts w:cs="Times New Roman"/>
          <w:sz w:val="24"/>
          <w:szCs w:val="24"/>
        </w:rPr>
        <w:t xml:space="preserve"> laws are inconsistent with Federal requirements</w:t>
      </w:r>
      <w:r w:rsidR="004F5998">
        <w:rPr>
          <w:rFonts w:cs="Times New Roman"/>
          <w:sz w:val="24"/>
          <w:szCs w:val="24"/>
        </w:rPr>
        <w:t>, to the extent such Federal requirements pre</w:t>
      </w:r>
      <w:r w:rsidR="00224683">
        <w:rPr>
          <w:rFonts w:cs="Times New Roman"/>
          <w:sz w:val="24"/>
          <w:szCs w:val="24"/>
        </w:rPr>
        <w:t>empt state, local, and tribal laws</w:t>
      </w:r>
      <w:r w:rsidRPr="005C4F6E">
        <w:rPr>
          <w:rFonts w:cs="Times New Roman"/>
          <w:sz w:val="24"/>
          <w:szCs w:val="24"/>
        </w:rPr>
        <w:t>. When collecting or maintaining personally identifiable information for inclusion in a HUD system of records as defined by the Privacy Act, recipients shall comply with agency rules, regulations, or other requirements issued under the Privacy Act as applicable.</w:t>
      </w:r>
    </w:p>
    <w:p w14:paraId="55CF0A57" w14:textId="683281E3" w:rsidR="00E0334F" w:rsidRPr="00C87CF0" w:rsidRDefault="00E0334F" w:rsidP="00C87CF0">
      <w:pPr>
        <w:pStyle w:val="Heading1"/>
        <w:ind w:left="360"/>
      </w:pPr>
      <w:r w:rsidRPr="00C87CF0">
        <w:t>Compliance with the Federal Funding Accountability and Transparency Act of 2006 (Pub</w:t>
      </w:r>
      <w:r w:rsidR="00DF25EC">
        <w:t>lic</w:t>
      </w:r>
      <w:r w:rsidRPr="00C87CF0">
        <w:t xml:space="preserve"> L</w:t>
      </w:r>
      <w:r w:rsidR="00DF25EC">
        <w:t xml:space="preserve">aw </w:t>
      </w:r>
      <w:r w:rsidRPr="00C87CF0">
        <w:t xml:space="preserve">109-282) (Transparency Act), as amended. </w:t>
      </w:r>
    </w:p>
    <w:p w14:paraId="0F0DD4CD" w14:textId="74ADC8A3" w:rsidR="00552F1A" w:rsidRPr="00C87CF0" w:rsidRDefault="00E925DB" w:rsidP="00552F1A">
      <w:pPr>
        <w:rPr>
          <w:szCs w:val="24"/>
          <w:lang w:val="en"/>
        </w:rPr>
      </w:pPr>
      <w:r>
        <w:rPr>
          <w:rFonts w:eastAsiaTheme="minorHAnsi" w:cs="Times New Roman"/>
          <w:szCs w:val="24"/>
          <w:lang w:val="en"/>
        </w:rPr>
        <w:t>To accomplish the purposes of 2 CFR part 170, t</w:t>
      </w:r>
      <w:r w:rsidR="00294F6C" w:rsidRPr="005C4F6E">
        <w:rPr>
          <w:rFonts w:eastAsiaTheme="minorHAnsi" w:cs="Times New Roman"/>
          <w:szCs w:val="24"/>
          <w:lang w:val="en"/>
        </w:rPr>
        <w:t>he following award term</w:t>
      </w:r>
      <w:r w:rsidR="00446AC4">
        <w:rPr>
          <w:rFonts w:eastAsiaTheme="minorHAnsi" w:cs="Times New Roman"/>
          <w:szCs w:val="24"/>
          <w:lang w:val="en"/>
        </w:rPr>
        <w:t>s</w:t>
      </w:r>
      <w:r w:rsidR="00294F6C" w:rsidRPr="005C4F6E">
        <w:rPr>
          <w:rFonts w:eastAsiaTheme="minorHAnsi" w:cs="Times New Roman"/>
          <w:szCs w:val="24"/>
          <w:lang w:val="en"/>
        </w:rPr>
        <w:t xml:space="preserve"> </w:t>
      </w:r>
      <w:r w:rsidR="00317AE6">
        <w:rPr>
          <w:rFonts w:eastAsiaTheme="minorHAnsi" w:cs="Times New Roman"/>
          <w:szCs w:val="24"/>
          <w:lang w:val="en"/>
        </w:rPr>
        <w:t xml:space="preserve">from </w:t>
      </w:r>
      <w:hyperlink r:id="rId26" w:history="1">
        <w:r w:rsidR="00317AE6" w:rsidRPr="0048705B">
          <w:rPr>
            <w:rStyle w:val="Hyperlink"/>
            <w:szCs w:val="24"/>
            <w:lang w:val="en"/>
          </w:rPr>
          <w:t>Appendix A to 2 CFR part 170</w:t>
        </w:r>
      </w:hyperlink>
      <w:r w:rsidR="00317AE6">
        <w:rPr>
          <w:szCs w:val="24"/>
          <w:lang w:val="en"/>
        </w:rPr>
        <w:t xml:space="preserve"> </w:t>
      </w:r>
      <w:r w:rsidR="00294F6C" w:rsidRPr="005C4F6E">
        <w:rPr>
          <w:rFonts w:eastAsiaTheme="minorHAnsi" w:cs="Times New Roman"/>
          <w:szCs w:val="24"/>
          <w:lang w:val="en"/>
        </w:rPr>
        <w:t>appl</w:t>
      </w:r>
      <w:r w:rsidR="00552F1A">
        <w:rPr>
          <w:rFonts w:eastAsiaTheme="minorHAnsi" w:cs="Times New Roman"/>
          <w:szCs w:val="24"/>
          <w:lang w:val="en"/>
        </w:rPr>
        <w:t xml:space="preserve">y to </w:t>
      </w:r>
      <w:r w:rsidR="00552F1A" w:rsidRPr="00C87CF0">
        <w:rPr>
          <w:szCs w:val="24"/>
          <w:lang w:val="en"/>
        </w:rPr>
        <w:t>all recipients</w:t>
      </w:r>
      <w:r w:rsidR="0048705B">
        <w:rPr>
          <w:szCs w:val="24"/>
          <w:lang w:val="en"/>
        </w:rPr>
        <w:t>:</w:t>
      </w:r>
      <w:r w:rsidR="00552F1A">
        <w:rPr>
          <w:szCs w:val="24"/>
          <w:lang w:val="en"/>
        </w:rPr>
        <w:t xml:space="preserve"> </w:t>
      </w:r>
    </w:p>
    <w:p w14:paraId="6BF59EEE" w14:textId="63E60412" w:rsidR="00C15C48" w:rsidRPr="00B143DC" w:rsidRDefault="00C15C48" w:rsidP="00446AC4">
      <w:pPr>
        <w:autoSpaceDE w:val="0"/>
        <w:autoSpaceDN w:val="0"/>
        <w:adjustRightInd w:val="0"/>
        <w:ind w:left="360"/>
        <w:rPr>
          <w:rFonts w:eastAsiaTheme="minorHAnsi" w:cs="Times New Roman"/>
          <w:b/>
          <w:bCs/>
          <w:szCs w:val="24"/>
          <w:lang w:val="en"/>
        </w:rPr>
      </w:pPr>
      <w:r w:rsidRPr="00B143DC">
        <w:rPr>
          <w:rFonts w:eastAsiaTheme="minorHAnsi" w:cs="Times New Roman"/>
          <w:b/>
          <w:bCs/>
          <w:szCs w:val="24"/>
          <w:lang w:val="en"/>
        </w:rPr>
        <w:t>Reporting Subawards and Executive Compensation</w:t>
      </w:r>
    </w:p>
    <w:p w14:paraId="1646166D" w14:textId="77777777" w:rsidR="00446AC4" w:rsidRDefault="00446AC4" w:rsidP="00B143DC">
      <w:pPr>
        <w:pStyle w:val="indent-1"/>
        <w:spacing w:before="0" w:beforeAutospacing="0" w:after="0" w:afterAutospacing="0"/>
        <w:ind w:left="360"/>
      </w:pPr>
      <w:r>
        <w:rPr>
          <w:rStyle w:val="paragraph-hierarchy"/>
        </w:rPr>
        <w:t>a</w:t>
      </w:r>
      <w:r>
        <w:rPr>
          <w:rStyle w:val="paren"/>
        </w:rPr>
        <w:t>.</w:t>
      </w:r>
      <w:r>
        <w:t xml:space="preserve"> </w:t>
      </w:r>
      <w:r>
        <w:rPr>
          <w:rStyle w:val="Emphasis"/>
          <w:b/>
          <w:bCs/>
        </w:rPr>
        <w:t>Reporting of first-tier subawards.</w:t>
      </w:r>
      <w:r>
        <w:t xml:space="preserve"> </w:t>
      </w:r>
    </w:p>
    <w:p w14:paraId="5C75A217" w14:textId="77777777" w:rsidR="00317AE6" w:rsidRPr="00B143DC" w:rsidRDefault="00317AE6" w:rsidP="00B143DC">
      <w:pPr>
        <w:pStyle w:val="indent-1"/>
        <w:spacing w:before="0" w:beforeAutospacing="0" w:after="0" w:afterAutospacing="0"/>
        <w:ind w:left="360"/>
        <w:rPr>
          <w:rStyle w:val="Emphasis"/>
          <w:b/>
          <w:bCs/>
          <w:sz w:val="10"/>
          <w:szCs w:val="10"/>
        </w:rPr>
      </w:pPr>
    </w:p>
    <w:p w14:paraId="19D70F78" w14:textId="60634C5E" w:rsidR="00446AC4" w:rsidRDefault="00446AC4" w:rsidP="00B143DC">
      <w:pPr>
        <w:pStyle w:val="indent-1"/>
        <w:spacing w:before="0" w:beforeAutospacing="0" w:after="0" w:afterAutospacing="0"/>
        <w:ind w:left="360"/>
      </w:pPr>
      <w:r>
        <w:rPr>
          <w:rStyle w:val="Emphasis"/>
          <w:b/>
          <w:bCs/>
        </w:rPr>
        <w:t>Applicability.</w:t>
      </w:r>
      <w:r>
        <w:t xml:space="preserve"> Unless you are exempt as provided in paragraph d. of this award term, you must report each action that equals or exceeds $30,000 in Federal funds for a subaward to a non-Federal entity or Federal agency (see definitions in paragraph e. of this award term). </w:t>
      </w:r>
    </w:p>
    <w:p w14:paraId="0C9CE63F" w14:textId="77777777" w:rsidR="00317AE6" w:rsidRPr="00CF7431" w:rsidRDefault="00317AE6" w:rsidP="00B143DC">
      <w:pPr>
        <w:pStyle w:val="indent-2"/>
        <w:spacing w:before="0" w:beforeAutospacing="0" w:after="0" w:afterAutospacing="0"/>
        <w:ind w:left="360"/>
        <w:rPr>
          <w:rStyle w:val="paragraph-hierarchy"/>
        </w:rPr>
      </w:pPr>
    </w:p>
    <w:p w14:paraId="6A792716" w14:textId="05E711A7" w:rsidR="00446AC4" w:rsidRDefault="00446AC4" w:rsidP="00B143DC">
      <w:pPr>
        <w:pStyle w:val="indent-2"/>
        <w:spacing w:before="0" w:beforeAutospacing="0" w:after="0" w:afterAutospacing="0"/>
        <w:ind w:left="360"/>
      </w:pPr>
      <w:r>
        <w:rPr>
          <w:rStyle w:val="paragraph-hierarchy"/>
        </w:rPr>
        <w:t>2</w:t>
      </w:r>
      <w:r>
        <w:rPr>
          <w:rStyle w:val="paren"/>
        </w:rPr>
        <w:t>.</w:t>
      </w:r>
      <w:r>
        <w:t xml:space="preserve"> </w:t>
      </w:r>
      <w:r>
        <w:rPr>
          <w:rStyle w:val="Emphasis"/>
          <w:b/>
          <w:bCs/>
        </w:rPr>
        <w:t>Where and when to report.</w:t>
      </w:r>
      <w:r>
        <w:t xml:space="preserve"> </w:t>
      </w:r>
    </w:p>
    <w:p w14:paraId="376D13B9" w14:textId="77777777" w:rsidR="00317AE6" w:rsidRPr="00B143DC" w:rsidRDefault="00317AE6" w:rsidP="00B143DC">
      <w:pPr>
        <w:pStyle w:val="indent-3"/>
        <w:spacing w:before="0" w:beforeAutospacing="0" w:after="0" w:afterAutospacing="0"/>
        <w:ind w:left="360"/>
        <w:rPr>
          <w:rStyle w:val="paragraph-hierarchy"/>
          <w:sz w:val="10"/>
          <w:szCs w:val="10"/>
        </w:rPr>
      </w:pPr>
    </w:p>
    <w:p w14:paraId="44DD758C" w14:textId="6C2A8CEB" w:rsidR="00446AC4" w:rsidRDefault="00446AC4" w:rsidP="00B143DC">
      <w:pPr>
        <w:pStyle w:val="indent-3"/>
        <w:spacing w:before="0" w:beforeAutospacing="0" w:after="0" w:afterAutospacing="0"/>
        <w:ind w:left="360"/>
      </w:pPr>
      <w:r>
        <w:rPr>
          <w:rStyle w:val="paragraph-hierarchy"/>
        </w:rPr>
        <w:t>i</w:t>
      </w:r>
      <w:r>
        <w:rPr>
          <w:rStyle w:val="paren"/>
        </w:rPr>
        <w:t>.</w:t>
      </w:r>
      <w:r>
        <w:t xml:space="preserve"> The non-Federal entity or Federal agency must report each obligating action described in paragraph a.1. of this award term to </w:t>
      </w:r>
      <w:hyperlink r:id="rId27" w:tgtFrame="_blank" w:history="1">
        <w:r>
          <w:rPr>
            <w:rStyle w:val="Hyperlink"/>
            <w:rFonts w:eastAsiaTheme="minorEastAsia"/>
            <w:i/>
            <w:iCs/>
          </w:rPr>
          <w:t>http://www.fsrs.gov</w:t>
        </w:r>
      </w:hyperlink>
      <w:r>
        <w:rPr>
          <w:rStyle w:val="Emphasis"/>
        </w:rPr>
        <w:t>.</w:t>
      </w:r>
      <w:r>
        <w:t xml:space="preserve"> </w:t>
      </w:r>
    </w:p>
    <w:p w14:paraId="0BAF3149" w14:textId="77777777" w:rsidR="00317AE6" w:rsidRPr="00B143DC" w:rsidRDefault="00317AE6" w:rsidP="00B143DC">
      <w:pPr>
        <w:pStyle w:val="indent-3"/>
        <w:spacing w:before="0" w:beforeAutospacing="0" w:after="0" w:afterAutospacing="0"/>
        <w:ind w:left="360"/>
        <w:rPr>
          <w:rStyle w:val="paragraph-hierarchy"/>
          <w:sz w:val="10"/>
          <w:szCs w:val="10"/>
        </w:rPr>
      </w:pPr>
    </w:p>
    <w:p w14:paraId="7EF34DAD" w14:textId="13C51B26" w:rsidR="00446AC4" w:rsidRDefault="00446AC4" w:rsidP="00B143DC">
      <w:pPr>
        <w:pStyle w:val="indent-3"/>
        <w:spacing w:before="0" w:beforeAutospacing="0" w:after="0" w:afterAutospacing="0"/>
        <w:ind w:left="360"/>
      </w:pPr>
      <w:r>
        <w:rPr>
          <w:rStyle w:val="paragraph-hierarchy"/>
        </w:rPr>
        <w:t>ii</w:t>
      </w:r>
      <w:r>
        <w:rPr>
          <w:rStyle w:val="paren"/>
        </w:rPr>
        <w:t>.</w:t>
      </w:r>
      <w:r>
        <w:t xml:space="preserve"> For subaward information, report no later than the end of the month following the month in which the obligation was made. (For example, if the obligation was made on November 7, 2010, the obligation must be reported by no later than December 31, 2010.) </w:t>
      </w:r>
    </w:p>
    <w:p w14:paraId="068BEFF8" w14:textId="77777777" w:rsidR="00317AE6" w:rsidRPr="00CF7431" w:rsidRDefault="00317AE6" w:rsidP="00B143DC">
      <w:pPr>
        <w:pStyle w:val="indent-2"/>
        <w:spacing w:before="0" w:beforeAutospacing="0" w:after="0" w:afterAutospacing="0"/>
        <w:ind w:left="360"/>
        <w:rPr>
          <w:rStyle w:val="paragraph-hierarchy"/>
        </w:rPr>
      </w:pPr>
    </w:p>
    <w:p w14:paraId="56F7F389" w14:textId="597C09AC" w:rsidR="00446AC4" w:rsidRDefault="00446AC4" w:rsidP="00B143DC">
      <w:pPr>
        <w:pStyle w:val="indent-2"/>
        <w:spacing w:before="0" w:beforeAutospacing="0" w:after="0" w:afterAutospacing="0"/>
        <w:ind w:left="360"/>
      </w:pPr>
      <w:r>
        <w:rPr>
          <w:rStyle w:val="paragraph-hierarchy"/>
        </w:rPr>
        <w:t>3</w:t>
      </w:r>
      <w:r>
        <w:rPr>
          <w:rStyle w:val="paren"/>
        </w:rPr>
        <w:t>.</w:t>
      </w:r>
      <w:r>
        <w:t xml:space="preserve"> </w:t>
      </w:r>
      <w:r>
        <w:rPr>
          <w:rStyle w:val="Emphasis"/>
          <w:b/>
          <w:bCs/>
        </w:rPr>
        <w:t>What to report.</w:t>
      </w:r>
      <w:r>
        <w:t xml:space="preserve"> You must report the information about each obligating action that the submission instructions posted at </w:t>
      </w:r>
      <w:hyperlink r:id="rId28" w:tgtFrame="_blank" w:history="1">
        <w:r>
          <w:rPr>
            <w:rStyle w:val="Hyperlink"/>
            <w:rFonts w:eastAsiaTheme="minorEastAsia"/>
            <w:i/>
            <w:iCs/>
          </w:rPr>
          <w:t>http://www.fsrs.gov</w:t>
        </w:r>
      </w:hyperlink>
      <w:r>
        <w:rPr>
          <w:rStyle w:val="Emphasis"/>
        </w:rPr>
        <w:t xml:space="preserve"> specify.</w:t>
      </w:r>
      <w:r>
        <w:t xml:space="preserve"> </w:t>
      </w:r>
    </w:p>
    <w:p w14:paraId="559F5718" w14:textId="77777777" w:rsidR="00317AE6" w:rsidRDefault="00317AE6" w:rsidP="00B143DC">
      <w:pPr>
        <w:pStyle w:val="indent-1"/>
        <w:spacing w:before="0" w:beforeAutospacing="0" w:after="0" w:afterAutospacing="0"/>
        <w:ind w:left="360"/>
        <w:rPr>
          <w:rStyle w:val="paragraph-hierarchy"/>
        </w:rPr>
      </w:pPr>
    </w:p>
    <w:p w14:paraId="0146BB32" w14:textId="736A71DE" w:rsidR="00446AC4" w:rsidRDefault="00446AC4" w:rsidP="00B143DC">
      <w:pPr>
        <w:pStyle w:val="indent-1"/>
        <w:spacing w:before="0" w:beforeAutospacing="0" w:after="0" w:afterAutospacing="0"/>
        <w:ind w:left="360"/>
      </w:pPr>
      <w:r>
        <w:rPr>
          <w:rStyle w:val="paragraph-hierarchy"/>
        </w:rPr>
        <w:t>b</w:t>
      </w:r>
      <w:r>
        <w:rPr>
          <w:rStyle w:val="paren"/>
        </w:rPr>
        <w:t>.</w:t>
      </w:r>
      <w:r>
        <w:t xml:space="preserve"> </w:t>
      </w:r>
      <w:r>
        <w:rPr>
          <w:rStyle w:val="Emphasis"/>
          <w:b/>
          <w:bCs/>
        </w:rPr>
        <w:t>Reporting total compensation of recipient executives for non-Federal entities.</w:t>
      </w:r>
      <w:r>
        <w:t xml:space="preserve"> </w:t>
      </w:r>
    </w:p>
    <w:p w14:paraId="36405FC3" w14:textId="77777777" w:rsidR="00317AE6" w:rsidRPr="00B143DC" w:rsidRDefault="00317AE6" w:rsidP="00B143DC">
      <w:pPr>
        <w:pStyle w:val="indent-2"/>
        <w:spacing w:before="0" w:beforeAutospacing="0" w:after="0" w:afterAutospacing="0"/>
        <w:ind w:left="360"/>
        <w:rPr>
          <w:rStyle w:val="paragraph-hierarchy"/>
          <w:sz w:val="10"/>
          <w:szCs w:val="10"/>
        </w:rPr>
      </w:pPr>
    </w:p>
    <w:p w14:paraId="11881A46" w14:textId="61207BF5" w:rsidR="00446AC4" w:rsidRDefault="00446AC4" w:rsidP="00B143DC">
      <w:pPr>
        <w:pStyle w:val="indent-2"/>
        <w:spacing w:before="0" w:beforeAutospacing="0" w:after="0" w:afterAutospacing="0"/>
        <w:ind w:left="360"/>
      </w:pPr>
      <w:r>
        <w:rPr>
          <w:rStyle w:val="paragraph-hierarchy"/>
        </w:rPr>
        <w:t>1</w:t>
      </w:r>
      <w:r>
        <w:rPr>
          <w:rStyle w:val="paren"/>
        </w:rPr>
        <w:t>.</w:t>
      </w:r>
      <w:r>
        <w:t xml:space="preserve"> </w:t>
      </w:r>
      <w:r>
        <w:rPr>
          <w:rStyle w:val="Emphasis"/>
          <w:b/>
          <w:bCs/>
        </w:rPr>
        <w:t>Applicability and what to report.</w:t>
      </w:r>
      <w:r>
        <w:t xml:space="preserve"> You must report total compensation for each of your five most highly compensated executives for the preceding completed fiscal year, if - </w:t>
      </w:r>
    </w:p>
    <w:p w14:paraId="68DA7F1F" w14:textId="77777777" w:rsidR="00CF7431" w:rsidRPr="00B143DC" w:rsidRDefault="00CF7431" w:rsidP="00B143DC">
      <w:pPr>
        <w:pStyle w:val="indent-3"/>
        <w:spacing w:before="0" w:beforeAutospacing="0" w:after="0" w:afterAutospacing="0"/>
        <w:ind w:left="360"/>
        <w:rPr>
          <w:rStyle w:val="paragraph-hierarchy"/>
          <w:sz w:val="10"/>
          <w:szCs w:val="10"/>
        </w:rPr>
      </w:pPr>
    </w:p>
    <w:p w14:paraId="2D64B03F" w14:textId="1511D9BA" w:rsidR="00446AC4" w:rsidRDefault="00446AC4" w:rsidP="00B143DC">
      <w:pPr>
        <w:pStyle w:val="indent-3"/>
        <w:spacing w:before="0" w:beforeAutospacing="0" w:after="0" w:afterAutospacing="0"/>
        <w:ind w:left="360"/>
      </w:pPr>
      <w:r>
        <w:rPr>
          <w:rStyle w:val="paragraph-hierarchy"/>
        </w:rPr>
        <w:t>i</w:t>
      </w:r>
      <w:r>
        <w:rPr>
          <w:rStyle w:val="paren"/>
        </w:rPr>
        <w:t>.</w:t>
      </w:r>
      <w:r>
        <w:t xml:space="preserve"> The total Federal funding authorized to date under this Federal award equals or exceeds $30,000 as defined in </w:t>
      </w:r>
      <w:hyperlink r:id="rId29" w:history="1">
        <w:r>
          <w:rPr>
            <w:rStyle w:val="Hyperlink"/>
            <w:rFonts w:eastAsiaTheme="minorEastAsia"/>
          </w:rPr>
          <w:t>2 CFR 170.320</w:t>
        </w:r>
      </w:hyperlink>
      <w:r>
        <w:t xml:space="preserve">; </w:t>
      </w:r>
    </w:p>
    <w:p w14:paraId="4AD1EA12" w14:textId="77777777" w:rsidR="00CF7431" w:rsidRPr="00B143DC" w:rsidRDefault="00CF7431" w:rsidP="00B143DC">
      <w:pPr>
        <w:pStyle w:val="indent-3"/>
        <w:spacing w:before="0" w:beforeAutospacing="0" w:after="0" w:afterAutospacing="0"/>
        <w:ind w:left="360"/>
        <w:rPr>
          <w:rStyle w:val="paragraph-hierarchy"/>
          <w:sz w:val="10"/>
          <w:szCs w:val="10"/>
        </w:rPr>
      </w:pPr>
    </w:p>
    <w:p w14:paraId="0ACA2470" w14:textId="21F839E6" w:rsidR="00446AC4" w:rsidRDefault="00446AC4" w:rsidP="00B143DC">
      <w:pPr>
        <w:pStyle w:val="indent-3"/>
        <w:spacing w:before="0" w:beforeAutospacing="0" w:after="0" w:afterAutospacing="0"/>
        <w:ind w:left="360"/>
      </w:pPr>
      <w:r>
        <w:rPr>
          <w:rStyle w:val="paragraph-hierarchy"/>
        </w:rPr>
        <w:t>ii</w:t>
      </w:r>
      <w:r>
        <w:rPr>
          <w:rStyle w:val="paren"/>
        </w:rPr>
        <w:t>.</w:t>
      </w:r>
      <w:r>
        <w:t xml:space="preserve"> in the preceding fiscal year, you received - </w:t>
      </w:r>
    </w:p>
    <w:p w14:paraId="07E499B8" w14:textId="77777777" w:rsidR="00446AC4" w:rsidRDefault="00446AC4" w:rsidP="00B143DC">
      <w:pPr>
        <w:pStyle w:val="indent-4"/>
        <w:spacing w:before="0" w:beforeAutospacing="0" w:after="0" w:afterAutospacing="0"/>
        <w:ind w:left="360"/>
      </w:pPr>
      <w:r>
        <w:rPr>
          <w:rStyle w:val="paren"/>
        </w:rPr>
        <w:lastRenderedPageBreak/>
        <w:t>(</w:t>
      </w:r>
      <w:r>
        <w:rPr>
          <w:rStyle w:val="paragraph-hierarchy"/>
        </w:rPr>
        <w:t>A</w:t>
      </w:r>
      <w:r>
        <w:rPr>
          <w:rStyle w:val="paren"/>
        </w:rPr>
        <w:t>)</w:t>
      </w:r>
      <w:r>
        <w:t xml:space="preserve"> 80 percent or more of your annual gross revenues from Federal procurement contracts (and subcontracts) and Federal financial assistance subject to the Transparency Act, as defined at </w:t>
      </w:r>
      <w:hyperlink r:id="rId30" w:history="1">
        <w:r>
          <w:rPr>
            <w:rStyle w:val="Hyperlink"/>
            <w:rFonts w:eastAsiaTheme="minorEastAsia"/>
          </w:rPr>
          <w:t>2 CFR 170.320</w:t>
        </w:r>
      </w:hyperlink>
      <w:r>
        <w:t xml:space="preserve"> (and subawards), and </w:t>
      </w:r>
    </w:p>
    <w:p w14:paraId="67E9EC70" w14:textId="77777777" w:rsidR="00446AC4" w:rsidRDefault="00446AC4" w:rsidP="00B143DC">
      <w:pPr>
        <w:pStyle w:val="indent-4"/>
        <w:spacing w:before="0" w:beforeAutospacing="0" w:after="0" w:afterAutospacing="0"/>
        <w:ind w:left="360"/>
      </w:pPr>
      <w:r>
        <w:rPr>
          <w:rStyle w:val="paren"/>
        </w:rPr>
        <w:t>(</w:t>
      </w:r>
      <w:r>
        <w:rPr>
          <w:rStyle w:val="paragraph-hierarchy"/>
        </w:rPr>
        <w:t>B</w:t>
      </w:r>
      <w:r>
        <w:rPr>
          <w:rStyle w:val="paren"/>
        </w:rPr>
        <w:t>)</w:t>
      </w:r>
      <w:r>
        <w:t xml:space="preserve"> $25,000,000 or more in annual gross revenues from Federal procurement contracts (and subcontracts) and Federal financial assistance subject to the Transparency Act, as defined at </w:t>
      </w:r>
      <w:hyperlink r:id="rId31" w:history="1">
        <w:r>
          <w:rPr>
            <w:rStyle w:val="Hyperlink"/>
            <w:rFonts w:eastAsiaTheme="minorEastAsia"/>
          </w:rPr>
          <w:t>2 CFR 170.320</w:t>
        </w:r>
      </w:hyperlink>
      <w:r>
        <w:t xml:space="preserve"> (and subawards); and, </w:t>
      </w:r>
    </w:p>
    <w:p w14:paraId="04C6CDD4" w14:textId="77777777" w:rsidR="00CF7431" w:rsidRPr="00B143DC" w:rsidRDefault="00CF7431" w:rsidP="00B143DC">
      <w:pPr>
        <w:pStyle w:val="indent-3"/>
        <w:spacing w:before="0" w:beforeAutospacing="0" w:after="0" w:afterAutospacing="0"/>
        <w:ind w:left="360"/>
        <w:rPr>
          <w:rStyle w:val="paragraph-hierarchy"/>
          <w:sz w:val="10"/>
          <w:szCs w:val="10"/>
        </w:rPr>
      </w:pPr>
    </w:p>
    <w:p w14:paraId="14207CEA" w14:textId="29E657E6" w:rsidR="00446AC4" w:rsidRDefault="00446AC4" w:rsidP="00B143DC">
      <w:pPr>
        <w:pStyle w:val="indent-3"/>
        <w:spacing w:before="0" w:beforeAutospacing="0" w:after="0" w:afterAutospacing="0"/>
        <w:ind w:left="360"/>
      </w:pPr>
      <w:r>
        <w:rPr>
          <w:rStyle w:val="paragraph-hierarchy"/>
        </w:rPr>
        <w:t>iii</w:t>
      </w:r>
      <w:r>
        <w:rPr>
          <w:rStyle w:val="paren"/>
        </w:rPr>
        <w:t>.</w:t>
      </w:r>
      <w:r>
        <w:t xml:space="preserve"> The public does not have access to information about the compensation of the executives through periodic reports filed under section 13(a) or 15(d) of the Securities Exchange Act of 1934 (</w:t>
      </w:r>
      <w:hyperlink r:id="rId32" w:tgtFrame="_blank" w:history="1">
        <w:r>
          <w:rPr>
            <w:rStyle w:val="Hyperlink"/>
            <w:rFonts w:eastAsiaTheme="minorEastAsia"/>
          </w:rPr>
          <w:t>15 U.S.C. 78m(a)</w:t>
        </w:r>
      </w:hyperlink>
      <w:r>
        <w:t xml:space="preserve">, </w:t>
      </w:r>
      <w:hyperlink r:id="rId33" w:tgtFrame="_blank" w:history="1">
        <w:r>
          <w:rPr>
            <w:rStyle w:val="Hyperlink"/>
            <w:rFonts w:eastAsiaTheme="minorEastAsia"/>
          </w:rPr>
          <w:t>78o(d)</w:t>
        </w:r>
      </w:hyperlink>
      <w:r>
        <w:t xml:space="preserve">) or section 6104 of the Internal Revenue Code of 1986. (To determine if the public has access to the compensation information, see the U.S. Security and Exchange Commission total compensation filings at </w:t>
      </w:r>
      <w:hyperlink r:id="rId34" w:tgtFrame="_blank" w:history="1">
        <w:r>
          <w:rPr>
            <w:rStyle w:val="Hyperlink"/>
            <w:rFonts w:eastAsiaTheme="minorEastAsia"/>
            <w:i/>
            <w:iCs/>
          </w:rPr>
          <w:t>http://www.sec.gov/answers/execomp.htm</w:t>
        </w:r>
      </w:hyperlink>
      <w:r>
        <w:rPr>
          <w:rStyle w:val="Emphasis"/>
        </w:rPr>
        <w:t>.</w:t>
      </w:r>
      <w:r>
        <w:t xml:space="preserve">) </w:t>
      </w:r>
    </w:p>
    <w:p w14:paraId="011E80BE" w14:textId="77777777" w:rsidR="00317AE6" w:rsidRPr="00CF7431" w:rsidRDefault="00317AE6" w:rsidP="00B143DC">
      <w:pPr>
        <w:pStyle w:val="indent-2"/>
        <w:spacing w:before="0" w:beforeAutospacing="0" w:after="0" w:afterAutospacing="0"/>
        <w:ind w:left="360"/>
        <w:rPr>
          <w:rStyle w:val="paragraph-hierarchy"/>
        </w:rPr>
      </w:pPr>
    </w:p>
    <w:p w14:paraId="3D64CE50" w14:textId="286D3888" w:rsidR="00446AC4" w:rsidRDefault="00446AC4" w:rsidP="00B143DC">
      <w:pPr>
        <w:pStyle w:val="indent-2"/>
        <w:spacing w:before="0" w:beforeAutospacing="0" w:after="0" w:afterAutospacing="0"/>
        <w:ind w:left="360"/>
      </w:pPr>
      <w:r>
        <w:rPr>
          <w:rStyle w:val="paragraph-hierarchy"/>
        </w:rPr>
        <w:t>2</w:t>
      </w:r>
      <w:r>
        <w:rPr>
          <w:rStyle w:val="paren"/>
        </w:rPr>
        <w:t>.</w:t>
      </w:r>
      <w:r>
        <w:t xml:space="preserve"> </w:t>
      </w:r>
      <w:r>
        <w:rPr>
          <w:rStyle w:val="Emphasis"/>
          <w:b/>
          <w:bCs/>
        </w:rPr>
        <w:t>Where and when to report.</w:t>
      </w:r>
      <w:r>
        <w:t xml:space="preserve"> You must report executive total compensation described in paragraph b.1. of this award term: </w:t>
      </w:r>
    </w:p>
    <w:p w14:paraId="2435BCC7" w14:textId="77777777" w:rsidR="00CF7431" w:rsidRPr="00B143DC" w:rsidRDefault="00CF7431" w:rsidP="00B143DC">
      <w:pPr>
        <w:pStyle w:val="indent-3"/>
        <w:spacing w:before="0" w:beforeAutospacing="0" w:after="0" w:afterAutospacing="0"/>
        <w:ind w:left="360"/>
        <w:rPr>
          <w:rStyle w:val="paragraph-hierarchy"/>
          <w:sz w:val="10"/>
          <w:szCs w:val="10"/>
        </w:rPr>
      </w:pPr>
    </w:p>
    <w:p w14:paraId="5F4B9A78" w14:textId="4D16E48F" w:rsidR="00446AC4" w:rsidRDefault="00446AC4" w:rsidP="0031646D">
      <w:pPr>
        <w:pStyle w:val="indent-3"/>
        <w:numPr>
          <w:ilvl w:val="0"/>
          <w:numId w:val="43"/>
        </w:numPr>
        <w:spacing w:before="0" w:beforeAutospacing="0" w:after="0" w:afterAutospacing="0"/>
        <w:ind w:left="630" w:hanging="270"/>
      </w:pPr>
      <w:r>
        <w:t xml:space="preserve">As part of your registration profile at </w:t>
      </w:r>
      <w:hyperlink r:id="rId35" w:tgtFrame="_blank" w:history="1">
        <w:r>
          <w:rPr>
            <w:rStyle w:val="Hyperlink"/>
            <w:rFonts w:eastAsiaTheme="minorEastAsia"/>
            <w:i/>
            <w:iCs/>
          </w:rPr>
          <w:t>https://www.sam.gov</w:t>
        </w:r>
      </w:hyperlink>
      <w:r>
        <w:rPr>
          <w:rStyle w:val="Emphasis"/>
        </w:rPr>
        <w:t>.</w:t>
      </w:r>
      <w:r>
        <w:t xml:space="preserve"> </w:t>
      </w:r>
    </w:p>
    <w:p w14:paraId="03B33B44" w14:textId="77777777" w:rsidR="00CF7431" w:rsidRPr="00B143DC" w:rsidRDefault="00CF7431" w:rsidP="00B143DC">
      <w:pPr>
        <w:pStyle w:val="indent-3"/>
        <w:spacing w:before="0" w:beforeAutospacing="0" w:after="0" w:afterAutospacing="0"/>
        <w:ind w:left="360"/>
        <w:rPr>
          <w:rStyle w:val="paragraph-hierarchy"/>
          <w:sz w:val="10"/>
          <w:szCs w:val="10"/>
        </w:rPr>
      </w:pPr>
    </w:p>
    <w:p w14:paraId="7271CB67" w14:textId="52398514" w:rsidR="00446AC4" w:rsidRDefault="00446AC4" w:rsidP="00B143DC">
      <w:pPr>
        <w:pStyle w:val="indent-3"/>
        <w:spacing w:before="0" w:beforeAutospacing="0" w:after="0" w:afterAutospacing="0"/>
        <w:ind w:left="360"/>
      </w:pPr>
      <w:r>
        <w:rPr>
          <w:rStyle w:val="paragraph-hierarchy"/>
        </w:rPr>
        <w:t>ii</w:t>
      </w:r>
      <w:r>
        <w:rPr>
          <w:rStyle w:val="paren"/>
        </w:rPr>
        <w:t>.</w:t>
      </w:r>
      <w:r>
        <w:t xml:space="preserve"> By the end of the month following the month in which this award is made, and annually thereafter. </w:t>
      </w:r>
    </w:p>
    <w:p w14:paraId="1E0AFB50" w14:textId="77777777" w:rsidR="00317AE6" w:rsidRDefault="00317AE6" w:rsidP="00B143DC">
      <w:pPr>
        <w:pStyle w:val="indent-1"/>
        <w:spacing w:before="0" w:beforeAutospacing="0" w:after="0" w:afterAutospacing="0"/>
        <w:ind w:left="360"/>
        <w:rPr>
          <w:rStyle w:val="paragraph-hierarchy"/>
        </w:rPr>
      </w:pPr>
    </w:p>
    <w:p w14:paraId="12951825" w14:textId="3136CAB3" w:rsidR="00446AC4" w:rsidRDefault="00446AC4" w:rsidP="00B143DC">
      <w:pPr>
        <w:pStyle w:val="indent-1"/>
        <w:spacing w:before="0" w:beforeAutospacing="0" w:after="0" w:afterAutospacing="0"/>
        <w:ind w:left="360"/>
      </w:pPr>
      <w:r>
        <w:rPr>
          <w:rStyle w:val="paragraph-hierarchy"/>
        </w:rPr>
        <w:t>c</w:t>
      </w:r>
      <w:r>
        <w:rPr>
          <w:rStyle w:val="paren"/>
        </w:rPr>
        <w:t>.</w:t>
      </w:r>
      <w:r>
        <w:t xml:space="preserve"> </w:t>
      </w:r>
      <w:r>
        <w:rPr>
          <w:rStyle w:val="Emphasis"/>
          <w:b/>
          <w:bCs/>
        </w:rPr>
        <w:t>Reporting of Total Compensation of Subrecipient Executives.</w:t>
      </w:r>
      <w:r>
        <w:t xml:space="preserve"> </w:t>
      </w:r>
    </w:p>
    <w:p w14:paraId="31D18903" w14:textId="77777777" w:rsidR="00CF7431" w:rsidRPr="00B143DC" w:rsidRDefault="00CF7431" w:rsidP="00B143DC">
      <w:pPr>
        <w:pStyle w:val="indent-2"/>
        <w:spacing w:before="0" w:beforeAutospacing="0" w:after="0" w:afterAutospacing="0"/>
        <w:ind w:left="360"/>
        <w:rPr>
          <w:rStyle w:val="paragraph-hierarchy"/>
          <w:sz w:val="10"/>
          <w:szCs w:val="10"/>
        </w:rPr>
      </w:pPr>
    </w:p>
    <w:p w14:paraId="7CCC024E" w14:textId="1F379165" w:rsidR="00446AC4" w:rsidRDefault="00446AC4" w:rsidP="00B143DC">
      <w:pPr>
        <w:pStyle w:val="indent-2"/>
        <w:spacing w:before="0" w:beforeAutospacing="0" w:after="0" w:afterAutospacing="0"/>
        <w:ind w:left="360"/>
      </w:pPr>
      <w:r>
        <w:rPr>
          <w:rStyle w:val="paragraph-hierarchy"/>
        </w:rPr>
        <w:t>1</w:t>
      </w:r>
      <w:r>
        <w:rPr>
          <w:rStyle w:val="paren"/>
        </w:rPr>
        <w:t>.</w:t>
      </w:r>
      <w:r>
        <w:t xml:space="preserve"> </w:t>
      </w:r>
      <w:r>
        <w:rPr>
          <w:rStyle w:val="Emphasis"/>
          <w:b/>
          <w:bCs/>
        </w:rPr>
        <w:t>Applicability and what to report.</w:t>
      </w:r>
      <w:r>
        <w:t xml:space="preserve"> Unless you are exempt as provided in paragraph d. of this award term, for each first-tier non-Federal entity subrecipient under this award, you shall report the names and total compensation of each of the subrecipient's five most highly compensated executives for the subrecipient's preceding completed fiscal year, if - </w:t>
      </w:r>
    </w:p>
    <w:p w14:paraId="5AD85C13" w14:textId="77777777" w:rsidR="00CF7431" w:rsidRPr="00B143DC" w:rsidRDefault="00CF7431" w:rsidP="00B143DC">
      <w:pPr>
        <w:pStyle w:val="indent-3"/>
        <w:spacing w:before="0" w:beforeAutospacing="0" w:after="0" w:afterAutospacing="0"/>
        <w:ind w:left="360"/>
        <w:rPr>
          <w:rStyle w:val="paragraph-hierarchy"/>
          <w:sz w:val="10"/>
          <w:szCs w:val="10"/>
        </w:rPr>
      </w:pPr>
    </w:p>
    <w:p w14:paraId="39815363" w14:textId="4FE1C570" w:rsidR="00446AC4" w:rsidRDefault="00446AC4" w:rsidP="00B143DC">
      <w:pPr>
        <w:pStyle w:val="indent-3"/>
        <w:spacing w:before="0" w:beforeAutospacing="0" w:after="0" w:afterAutospacing="0"/>
        <w:ind w:left="360"/>
      </w:pPr>
      <w:r>
        <w:rPr>
          <w:rStyle w:val="paragraph-hierarchy"/>
        </w:rPr>
        <w:t>i</w:t>
      </w:r>
      <w:r>
        <w:rPr>
          <w:rStyle w:val="paren"/>
        </w:rPr>
        <w:t>.</w:t>
      </w:r>
      <w:r>
        <w:t xml:space="preserve"> </w:t>
      </w:r>
      <w:r w:rsidR="0031646D">
        <w:t>I</w:t>
      </w:r>
      <w:r>
        <w:t xml:space="preserve">n the subrecipient's preceding fiscal year, the subrecipient received - </w:t>
      </w:r>
    </w:p>
    <w:p w14:paraId="3168C9EB" w14:textId="77777777" w:rsidR="00446AC4" w:rsidRDefault="00446AC4" w:rsidP="00B143DC">
      <w:pPr>
        <w:pStyle w:val="indent-4"/>
        <w:spacing w:before="0" w:beforeAutospacing="0" w:after="0" w:afterAutospacing="0"/>
        <w:ind w:left="360"/>
      </w:pPr>
      <w:r>
        <w:rPr>
          <w:rStyle w:val="paren"/>
        </w:rPr>
        <w:t>(</w:t>
      </w:r>
      <w:r>
        <w:rPr>
          <w:rStyle w:val="paragraph-hierarchy"/>
        </w:rPr>
        <w:t>A</w:t>
      </w:r>
      <w:r>
        <w:rPr>
          <w:rStyle w:val="paren"/>
        </w:rPr>
        <w:t>)</w:t>
      </w:r>
      <w:r>
        <w:t xml:space="preserve"> 80 percent or more of its annual gross revenues from Federal procurement contracts (and subcontracts) and Federal financial assistance subject to the Transparency Act, as defined at </w:t>
      </w:r>
      <w:hyperlink r:id="rId36" w:history="1">
        <w:r>
          <w:rPr>
            <w:rStyle w:val="Hyperlink"/>
            <w:rFonts w:eastAsiaTheme="minorEastAsia"/>
          </w:rPr>
          <w:t>2 CFR 170.320</w:t>
        </w:r>
      </w:hyperlink>
      <w:r>
        <w:t xml:space="preserve"> (and subawards) and, </w:t>
      </w:r>
    </w:p>
    <w:p w14:paraId="1C1704C1" w14:textId="77777777" w:rsidR="00446AC4" w:rsidRDefault="00446AC4" w:rsidP="00B143DC">
      <w:pPr>
        <w:pStyle w:val="indent-4"/>
        <w:spacing w:before="0" w:beforeAutospacing="0" w:after="0" w:afterAutospacing="0"/>
        <w:ind w:left="360"/>
      </w:pPr>
      <w:r>
        <w:rPr>
          <w:rStyle w:val="paren"/>
        </w:rPr>
        <w:t>(</w:t>
      </w:r>
      <w:r>
        <w:rPr>
          <w:rStyle w:val="paragraph-hierarchy"/>
        </w:rPr>
        <w:t>B</w:t>
      </w:r>
      <w:r>
        <w:rPr>
          <w:rStyle w:val="paren"/>
        </w:rPr>
        <w:t>)</w:t>
      </w:r>
      <w:r>
        <w:t xml:space="preserve"> $25,000,000 or more in annual gross revenues from Federal procurement contracts (and subcontracts), and Federal financial assistance subject to the Transparency Act (and subawards); and </w:t>
      </w:r>
    </w:p>
    <w:p w14:paraId="233ADC61" w14:textId="77777777" w:rsidR="00CF7431" w:rsidRPr="00B143DC" w:rsidRDefault="00CF7431" w:rsidP="00B143DC">
      <w:pPr>
        <w:pStyle w:val="indent-3"/>
        <w:spacing w:before="0" w:beforeAutospacing="0" w:after="0" w:afterAutospacing="0"/>
        <w:ind w:left="360"/>
        <w:rPr>
          <w:rStyle w:val="paragraph-hierarchy"/>
          <w:sz w:val="10"/>
          <w:szCs w:val="10"/>
        </w:rPr>
      </w:pPr>
    </w:p>
    <w:p w14:paraId="3A1E256C" w14:textId="4C06280A" w:rsidR="00446AC4" w:rsidRDefault="00446AC4" w:rsidP="00B143DC">
      <w:pPr>
        <w:pStyle w:val="indent-3"/>
        <w:spacing w:before="0" w:beforeAutospacing="0" w:after="0" w:afterAutospacing="0"/>
        <w:ind w:left="360"/>
      </w:pPr>
      <w:r>
        <w:rPr>
          <w:rStyle w:val="paragraph-hierarchy"/>
        </w:rPr>
        <w:t>ii</w:t>
      </w:r>
      <w:r>
        <w:rPr>
          <w:rStyle w:val="paren"/>
        </w:rPr>
        <w:t>.</w:t>
      </w:r>
      <w:r>
        <w:t xml:space="preserve"> The public does not have access to information about the compensation of the executives through periodic reports filed under section 13(a) or 15(d) of the Securities Exchange Act of 1934 (</w:t>
      </w:r>
      <w:hyperlink r:id="rId37" w:tgtFrame="_blank" w:history="1">
        <w:r>
          <w:rPr>
            <w:rStyle w:val="Hyperlink"/>
            <w:rFonts w:eastAsiaTheme="minorEastAsia"/>
          </w:rPr>
          <w:t>15 U.S.C. 78m(a)</w:t>
        </w:r>
      </w:hyperlink>
      <w:r>
        <w:t xml:space="preserve">, </w:t>
      </w:r>
      <w:hyperlink r:id="rId38" w:tgtFrame="_blank" w:history="1">
        <w:r>
          <w:rPr>
            <w:rStyle w:val="Hyperlink"/>
            <w:rFonts w:eastAsiaTheme="minorEastAsia"/>
          </w:rPr>
          <w:t>78o(d)</w:t>
        </w:r>
      </w:hyperlink>
      <w:r>
        <w:t xml:space="preserve">) or section 6104 of the Internal Revenue Code of 1986. (To determine if the public has access to the compensation information, see the U.S. Security and Exchange Commission total compensation filings at </w:t>
      </w:r>
      <w:hyperlink r:id="rId39" w:tgtFrame="_blank" w:history="1">
        <w:r>
          <w:rPr>
            <w:rStyle w:val="Hyperlink"/>
            <w:rFonts w:eastAsiaTheme="minorEastAsia"/>
            <w:i/>
            <w:iCs/>
          </w:rPr>
          <w:t>http://www.sec.gov/answers/execomp.htm</w:t>
        </w:r>
      </w:hyperlink>
      <w:r>
        <w:rPr>
          <w:rStyle w:val="Emphasis"/>
        </w:rPr>
        <w:t>.</w:t>
      </w:r>
      <w:r>
        <w:t xml:space="preserve">) </w:t>
      </w:r>
    </w:p>
    <w:p w14:paraId="339C77B9" w14:textId="77777777" w:rsidR="00317AE6" w:rsidRPr="00CF7431" w:rsidRDefault="00317AE6" w:rsidP="00B143DC">
      <w:pPr>
        <w:pStyle w:val="indent-2"/>
        <w:spacing w:before="0" w:beforeAutospacing="0" w:after="0" w:afterAutospacing="0"/>
        <w:ind w:left="360"/>
        <w:rPr>
          <w:rStyle w:val="paragraph-hierarchy"/>
        </w:rPr>
      </w:pPr>
    </w:p>
    <w:p w14:paraId="318E7AC0" w14:textId="3BE3F78C" w:rsidR="00446AC4" w:rsidRDefault="00446AC4" w:rsidP="00B143DC">
      <w:pPr>
        <w:pStyle w:val="indent-2"/>
        <w:spacing w:before="0" w:beforeAutospacing="0" w:after="0" w:afterAutospacing="0"/>
        <w:ind w:left="360"/>
      </w:pPr>
      <w:r>
        <w:rPr>
          <w:rStyle w:val="paragraph-hierarchy"/>
        </w:rPr>
        <w:t>2</w:t>
      </w:r>
      <w:r>
        <w:rPr>
          <w:rStyle w:val="paren"/>
        </w:rPr>
        <w:t>.</w:t>
      </w:r>
      <w:r>
        <w:t xml:space="preserve"> </w:t>
      </w:r>
      <w:r>
        <w:rPr>
          <w:rStyle w:val="Emphasis"/>
          <w:b/>
          <w:bCs/>
        </w:rPr>
        <w:t>Where and when to report.</w:t>
      </w:r>
      <w:r>
        <w:t xml:space="preserve"> You must report subrecipient executive total compensation described in paragraph c.1. of this award term: </w:t>
      </w:r>
    </w:p>
    <w:p w14:paraId="7C85C4ED" w14:textId="77777777" w:rsidR="00CF7431" w:rsidRPr="00B143DC" w:rsidRDefault="00CF7431" w:rsidP="00B143DC">
      <w:pPr>
        <w:pStyle w:val="indent-3"/>
        <w:spacing w:before="0" w:beforeAutospacing="0" w:after="0" w:afterAutospacing="0"/>
        <w:ind w:left="360"/>
        <w:rPr>
          <w:rStyle w:val="paragraph-hierarchy"/>
          <w:sz w:val="10"/>
          <w:szCs w:val="10"/>
        </w:rPr>
      </w:pPr>
    </w:p>
    <w:p w14:paraId="4207DB69" w14:textId="2360334E" w:rsidR="00446AC4" w:rsidRDefault="00446AC4" w:rsidP="0031646D">
      <w:pPr>
        <w:pStyle w:val="indent-3"/>
        <w:numPr>
          <w:ilvl w:val="0"/>
          <w:numId w:val="44"/>
        </w:numPr>
        <w:spacing w:before="0" w:beforeAutospacing="0" w:after="0" w:afterAutospacing="0"/>
        <w:ind w:left="630" w:hanging="270"/>
      </w:pPr>
      <w:r>
        <w:t>To the recipient</w:t>
      </w:r>
      <w:r w:rsidR="00861849">
        <w:t>; and</w:t>
      </w:r>
      <w:r>
        <w:t xml:space="preserve"> </w:t>
      </w:r>
    </w:p>
    <w:p w14:paraId="48B3733F" w14:textId="77777777" w:rsidR="00CF7431" w:rsidRPr="00B143DC" w:rsidRDefault="00CF7431" w:rsidP="00B143DC">
      <w:pPr>
        <w:pStyle w:val="indent-3"/>
        <w:spacing w:before="0" w:beforeAutospacing="0" w:after="0" w:afterAutospacing="0"/>
        <w:ind w:left="360"/>
        <w:rPr>
          <w:rStyle w:val="paragraph-hierarchy"/>
          <w:sz w:val="10"/>
          <w:szCs w:val="10"/>
        </w:rPr>
      </w:pPr>
    </w:p>
    <w:p w14:paraId="427925CF" w14:textId="37C62CDA" w:rsidR="00446AC4" w:rsidRDefault="00446AC4" w:rsidP="00B143DC">
      <w:pPr>
        <w:pStyle w:val="indent-3"/>
        <w:spacing w:before="0" w:beforeAutospacing="0" w:after="0" w:afterAutospacing="0"/>
        <w:ind w:left="360"/>
      </w:pPr>
      <w:r>
        <w:rPr>
          <w:rStyle w:val="paragraph-hierarchy"/>
        </w:rPr>
        <w:t>ii</w:t>
      </w:r>
      <w:r>
        <w:rPr>
          <w:rStyle w:val="paren"/>
        </w:rPr>
        <w:t>.</w:t>
      </w:r>
      <w:r>
        <w:t xml:space="preserve"> By the end of the month following the month during which you make the subaward. For example, if a subaward is obligated on any date during the month of October of a given year (</w:t>
      </w:r>
      <w:r>
        <w:rPr>
          <w:rStyle w:val="Emphasis"/>
        </w:rPr>
        <w:t>i.e.,</w:t>
      </w:r>
      <w:r>
        <w:t xml:space="preserve"> between October 1 and 31), you must report any required compensation information of the subrecipient by November 30 of that year. </w:t>
      </w:r>
    </w:p>
    <w:p w14:paraId="3DE5A409" w14:textId="77777777" w:rsidR="00317AE6" w:rsidRDefault="00317AE6" w:rsidP="00B143DC">
      <w:pPr>
        <w:pStyle w:val="indent-1"/>
        <w:spacing w:before="0" w:beforeAutospacing="0" w:after="0" w:afterAutospacing="0"/>
        <w:ind w:left="360"/>
        <w:rPr>
          <w:rStyle w:val="paragraph-hierarchy"/>
        </w:rPr>
      </w:pPr>
    </w:p>
    <w:p w14:paraId="3CAC47CC" w14:textId="2F39224D" w:rsidR="00446AC4" w:rsidRDefault="00446AC4" w:rsidP="00B143DC">
      <w:pPr>
        <w:pStyle w:val="indent-1"/>
        <w:spacing w:before="0" w:beforeAutospacing="0" w:after="0" w:afterAutospacing="0"/>
        <w:ind w:left="360"/>
      </w:pPr>
      <w:r>
        <w:rPr>
          <w:rStyle w:val="paragraph-hierarchy"/>
        </w:rPr>
        <w:lastRenderedPageBreak/>
        <w:t>d</w:t>
      </w:r>
      <w:r>
        <w:rPr>
          <w:rStyle w:val="paren"/>
        </w:rPr>
        <w:t>.</w:t>
      </w:r>
      <w:r>
        <w:t xml:space="preserve"> </w:t>
      </w:r>
      <w:r>
        <w:rPr>
          <w:rStyle w:val="Emphasis"/>
          <w:b/>
          <w:bCs/>
        </w:rPr>
        <w:t>Exemptions.</w:t>
      </w:r>
      <w:r>
        <w:t xml:space="preserve"> </w:t>
      </w:r>
    </w:p>
    <w:p w14:paraId="384B2F88" w14:textId="77777777" w:rsidR="00446AC4" w:rsidRDefault="00446AC4" w:rsidP="00B143DC">
      <w:pPr>
        <w:pStyle w:val="indent-1"/>
        <w:spacing w:before="0" w:beforeAutospacing="0" w:after="0" w:afterAutospacing="0"/>
        <w:ind w:left="360"/>
      </w:pPr>
      <w:r>
        <w:t xml:space="preserve">If, in the previous tax year, you had gross income, from all sources, under $300,000, you are exempt from the requirements to report: </w:t>
      </w:r>
    </w:p>
    <w:p w14:paraId="4E692B24" w14:textId="77777777" w:rsidR="00CF7431" w:rsidRPr="00B143DC" w:rsidRDefault="00CF7431" w:rsidP="00B143DC">
      <w:pPr>
        <w:pStyle w:val="indent-2"/>
        <w:spacing w:before="0" w:beforeAutospacing="0" w:after="0" w:afterAutospacing="0"/>
        <w:ind w:left="360"/>
        <w:rPr>
          <w:rStyle w:val="paragraph-hierarchy"/>
          <w:sz w:val="10"/>
          <w:szCs w:val="10"/>
        </w:rPr>
      </w:pPr>
    </w:p>
    <w:p w14:paraId="376B46C1" w14:textId="546217EE" w:rsidR="00446AC4" w:rsidRDefault="00446AC4" w:rsidP="0090602E">
      <w:pPr>
        <w:pStyle w:val="indent-2"/>
        <w:numPr>
          <w:ilvl w:val="0"/>
          <w:numId w:val="45"/>
        </w:numPr>
        <w:spacing w:before="0" w:beforeAutospacing="0" w:after="0" w:afterAutospacing="0"/>
        <w:ind w:left="630" w:hanging="270"/>
      </w:pPr>
      <w:r>
        <w:t xml:space="preserve">Subawards, and </w:t>
      </w:r>
    </w:p>
    <w:p w14:paraId="5D3515C0" w14:textId="77777777" w:rsidR="00CF7431" w:rsidRPr="00B143DC" w:rsidRDefault="00CF7431" w:rsidP="00B143DC">
      <w:pPr>
        <w:pStyle w:val="indent-2"/>
        <w:spacing w:before="0" w:beforeAutospacing="0" w:after="0" w:afterAutospacing="0"/>
        <w:ind w:left="360"/>
        <w:rPr>
          <w:rStyle w:val="paragraph-hierarchy"/>
          <w:sz w:val="10"/>
          <w:szCs w:val="10"/>
        </w:rPr>
      </w:pPr>
    </w:p>
    <w:p w14:paraId="2986257E" w14:textId="1F8C1CAF" w:rsidR="00446AC4" w:rsidRDefault="00446AC4" w:rsidP="00B143DC">
      <w:pPr>
        <w:pStyle w:val="indent-2"/>
        <w:spacing w:before="0" w:beforeAutospacing="0" w:after="0" w:afterAutospacing="0"/>
        <w:ind w:left="360"/>
      </w:pPr>
      <w:r>
        <w:rPr>
          <w:rStyle w:val="paragraph-hierarchy"/>
        </w:rPr>
        <w:t>ii</w:t>
      </w:r>
      <w:r>
        <w:rPr>
          <w:rStyle w:val="paren"/>
        </w:rPr>
        <w:t>.</w:t>
      </w:r>
      <w:r>
        <w:t xml:space="preserve"> The total compensation of the five most highly compensated executives of any subrecipient. </w:t>
      </w:r>
    </w:p>
    <w:p w14:paraId="65A61C0C" w14:textId="77777777" w:rsidR="00317AE6" w:rsidRDefault="00317AE6" w:rsidP="00B143DC">
      <w:pPr>
        <w:pStyle w:val="indent-1"/>
        <w:spacing w:before="0" w:beforeAutospacing="0" w:after="0" w:afterAutospacing="0"/>
        <w:ind w:left="360"/>
        <w:rPr>
          <w:rStyle w:val="paragraph-hierarchy"/>
        </w:rPr>
      </w:pPr>
    </w:p>
    <w:p w14:paraId="1A592246" w14:textId="3EF8B0DE" w:rsidR="00446AC4" w:rsidRDefault="00446AC4" w:rsidP="00B143DC">
      <w:pPr>
        <w:pStyle w:val="indent-1"/>
        <w:spacing w:before="0" w:beforeAutospacing="0" w:after="0" w:afterAutospacing="0"/>
        <w:ind w:left="360"/>
      </w:pPr>
      <w:r>
        <w:rPr>
          <w:rStyle w:val="paragraph-hierarchy"/>
        </w:rPr>
        <w:t>e</w:t>
      </w:r>
      <w:r>
        <w:rPr>
          <w:rStyle w:val="paren"/>
        </w:rPr>
        <w:t>.</w:t>
      </w:r>
      <w:r>
        <w:t xml:space="preserve"> </w:t>
      </w:r>
      <w:r>
        <w:rPr>
          <w:rStyle w:val="Emphasis"/>
          <w:b/>
          <w:bCs/>
        </w:rPr>
        <w:t>Definitions.</w:t>
      </w:r>
      <w:r>
        <w:t xml:space="preserve"> For purposes of this award term: </w:t>
      </w:r>
    </w:p>
    <w:p w14:paraId="2861E396" w14:textId="77777777" w:rsidR="00CF7431" w:rsidRPr="00B143DC" w:rsidRDefault="00CF7431" w:rsidP="00B143DC">
      <w:pPr>
        <w:pStyle w:val="indent-2"/>
        <w:spacing w:before="0" w:beforeAutospacing="0" w:after="0" w:afterAutospacing="0"/>
        <w:ind w:left="360"/>
        <w:rPr>
          <w:rStyle w:val="paragraph-hierarchy"/>
          <w:sz w:val="10"/>
          <w:szCs w:val="10"/>
        </w:rPr>
      </w:pPr>
    </w:p>
    <w:p w14:paraId="6884A68D" w14:textId="4B62CD11" w:rsidR="00446AC4" w:rsidRDefault="00446AC4" w:rsidP="00B143DC">
      <w:pPr>
        <w:pStyle w:val="indent-2"/>
        <w:spacing w:before="0" w:beforeAutospacing="0" w:after="0" w:afterAutospacing="0"/>
        <w:ind w:left="360"/>
      </w:pPr>
      <w:r>
        <w:rPr>
          <w:rStyle w:val="paragraph-hierarchy"/>
        </w:rPr>
        <w:t>1</w:t>
      </w:r>
      <w:r>
        <w:rPr>
          <w:rStyle w:val="paren"/>
        </w:rPr>
        <w:t>.</w:t>
      </w:r>
      <w:r>
        <w:t xml:space="preserve"> Federal Agency means a Federal agency as defined at </w:t>
      </w:r>
      <w:hyperlink r:id="rId40" w:tgtFrame="_blank" w:history="1">
        <w:r>
          <w:rPr>
            <w:rStyle w:val="Hyperlink"/>
            <w:rFonts w:eastAsiaTheme="minorEastAsia"/>
          </w:rPr>
          <w:t>5 U.S.C. 551(1)</w:t>
        </w:r>
      </w:hyperlink>
      <w:r>
        <w:t xml:space="preserve"> and further clarified by </w:t>
      </w:r>
      <w:hyperlink r:id="rId41" w:tgtFrame="_blank" w:history="1">
        <w:r>
          <w:rPr>
            <w:rStyle w:val="Hyperlink"/>
            <w:rFonts w:eastAsiaTheme="minorEastAsia"/>
          </w:rPr>
          <w:t>5 U.S.C. 552(f)</w:t>
        </w:r>
      </w:hyperlink>
      <w:r>
        <w:t xml:space="preserve">. </w:t>
      </w:r>
    </w:p>
    <w:p w14:paraId="4670A527" w14:textId="77777777" w:rsidR="00CF7431" w:rsidRDefault="00CF7431" w:rsidP="00B143DC">
      <w:pPr>
        <w:pStyle w:val="indent-2"/>
        <w:spacing w:before="0" w:beforeAutospacing="0" w:after="0" w:afterAutospacing="0"/>
        <w:ind w:left="360"/>
        <w:rPr>
          <w:rStyle w:val="paragraph-hierarchy"/>
        </w:rPr>
      </w:pPr>
    </w:p>
    <w:p w14:paraId="43F6683B" w14:textId="5AB75625" w:rsidR="00446AC4" w:rsidRDefault="00446AC4" w:rsidP="00B143DC">
      <w:pPr>
        <w:pStyle w:val="indent-2"/>
        <w:spacing w:before="0" w:beforeAutospacing="0" w:after="0" w:afterAutospacing="0"/>
        <w:ind w:left="360"/>
      </w:pPr>
      <w:r>
        <w:rPr>
          <w:rStyle w:val="paragraph-hierarchy"/>
        </w:rPr>
        <w:t>2</w:t>
      </w:r>
      <w:r>
        <w:rPr>
          <w:rStyle w:val="paren"/>
        </w:rPr>
        <w:t>.</w:t>
      </w:r>
      <w:r>
        <w:t xml:space="preserve"> Non-Federal </w:t>
      </w:r>
      <w:r>
        <w:rPr>
          <w:rStyle w:val="Emphasis"/>
        </w:rPr>
        <w:t>entity</w:t>
      </w:r>
      <w:r>
        <w:t xml:space="preserve"> means all of the following, as defined in </w:t>
      </w:r>
      <w:hyperlink r:id="rId42" w:history="1">
        <w:r>
          <w:rPr>
            <w:rStyle w:val="Hyperlink"/>
            <w:rFonts w:eastAsiaTheme="minorEastAsia"/>
          </w:rPr>
          <w:t>2 CFR part 25</w:t>
        </w:r>
      </w:hyperlink>
      <w:r>
        <w:t xml:space="preserve">: </w:t>
      </w:r>
    </w:p>
    <w:p w14:paraId="013093D2" w14:textId="77777777" w:rsidR="00CF7431" w:rsidRPr="00B143DC" w:rsidRDefault="00CF7431" w:rsidP="00B143DC">
      <w:pPr>
        <w:pStyle w:val="indent-3"/>
        <w:spacing w:before="0" w:beforeAutospacing="0" w:after="0" w:afterAutospacing="0"/>
        <w:ind w:left="360"/>
        <w:rPr>
          <w:rStyle w:val="paragraph-hierarchy"/>
          <w:sz w:val="10"/>
          <w:szCs w:val="10"/>
        </w:rPr>
      </w:pPr>
    </w:p>
    <w:p w14:paraId="5F0986AF" w14:textId="6F275614" w:rsidR="00446AC4" w:rsidRDefault="00446AC4" w:rsidP="0090602E">
      <w:pPr>
        <w:pStyle w:val="indent-3"/>
        <w:numPr>
          <w:ilvl w:val="0"/>
          <w:numId w:val="46"/>
        </w:numPr>
        <w:spacing w:before="0" w:beforeAutospacing="0" w:after="0" w:afterAutospacing="0"/>
        <w:ind w:left="630" w:hanging="270"/>
      </w:pPr>
      <w:r>
        <w:t xml:space="preserve">A Governmental organization, which is a State, local government, or Indian tribe; </w:t>
      </w:r>
    </w:p>
    <w:p w14:paraId="5877AD21" w14:textId="77777777" w:rsidR="00CF7431" w:rsidRPr="00B143DC" w:rsidRDefault="00CF7431" w:rsidP="00B143DC">
      <w:pPr>
        <w:pStyle w:val="indent-3"/>
        <w:spacing w:before="0" w:beforeAutospacing="0" w:after="0" w:afterAutospacing="0"/>
        <w:ind w:left="360"/>
        <w:rPr>
          <w:rStyle w:val="paragraph-hierarchy"/>
          <w:sz w:val="10"/>
          <w:szCs w:val="10"/>
        </w:rPr>
      </w:pPr>
    </w:p>
    <w:p w14:paraId="0B80CCF5" w14:textId="7C11F883" w:rsidR="00446AC4" w:rsidRDefault="00446AC4" w:rsidP="00B143DC">
      <w:pPr>
        <w:pStyle w:val="indent-3"/>
        <w:spacing w:before="0" w:beforeAutospacing="0" w:after="0" w:afterAutospacing="0"/>
        <w:ind w:left="360"/>
      </w:pPr>
      <w:r>
        <w:rPr>
          <w:rStyle w:val="paragraph-hierarchy"/>
        </w:rPr>
        <w:t>ii</w:t>
      </w:r>
      <w:r>
        <w:rPr>
          <w:rStyle w:val="paren"/>
        </w:rPr>
        <w:t>.</w:t>
      </w:r>
      <w:r>
        <w:t xml:space="preserve"> A foreign public entity; </w:t>
      </w:r>
    </w:p>
    <w:p w14:paraId="116A69A3" w14:textId="77777777" w:rsidR="00CF7431" w:rsidRPr="00B143DC" w:rsidRDefault="00CF7431" w:rsidP="00B143DC">
      <w:pPr>
        <w:pStyle w:val="indent-3"/>
        <w:spacing w:before="0" w:beforeAutospacing="0" w:after="0" w:afterAutospacing="0"/>
        <w:ind w:left="360"/>
        <w:rPr>
          <w:rStyle w:val="paragraph-hierarchy"/>
          <w:sz w:val="10"/>
          <w:szCs w:val="10"/>
        </w:rPr>
      </w:pPr>
    </w:p>
    <w:p w14:paraId="67437D43" w14:textId="3C9CF41A" w:rsidR="00446AC4" w:rsidRDefault="00446AC4" w:rsidP="00262BA1">
      <w:pPr>
        <w:pStyle w:val="indent-3"/>
        <w:numPr>
          <w:ilvl w:val="0"/>
          <w:numId w:val="46"/>
        </w:numPr>
        <w:spacing w:before="0" w:beforeAutospacing="0" w:after="0" w:afterAutospacing="0"/>
        <w:ind w:left="630" w:hanging="270"/>
      </w:pPr>
      <w:r>
        <w:t xml:space="preserve">A domestic or foreign nonprofit organization; and </w:t>
      </w:r>
    </w:p>
    <w:p w14:paraId="175FA344" w14:textId="77777777" w:rsidR="00CF7431" w:rsidRPr="00B143DC" w:rsidRDefault="00CF7431" w:rsidP="00B143DC">
      <w:pPr>
        <w:pStyle w:val="indent-3"/>
        <w:spacing w:before="0" w:beforeAutospacing="0" w:after="0" w:afterAutospacing="0"/>
        <w:ind w:left="360"/>
        <w:rPr>
          <w:rStyle w:val="paragraph-hierarchy"/>
          <w:sz w:val="10"/>
          <w:szCs w:val="10"/>
        </w:rPr>
      </w:pPr>
    </w:p>
    <w:p w14:paraId="23295E44" w14:textId="7EDA4A41" w:rsidR="00446AC4" w:rsidRDefault="00446AC4" w:rsidP="00B143DC">
      <w:pPr>
        <w:pStyle w:val="indent-3"/>
        <w:spacing w:before="0" w:beforeAutospacing="0" w:after="0" w:afterAutospacing="0"/>
        <w:ind w:left="360"/>
      </w:pPr>
      <w:r>
        <w:rPr>
          <w:rStyle w:val="paragraph-hierarchy"/>
        </w:rPr>
        <w:t>iv</w:t>
      </w:r>
      <w:r>
        <w:rPr>
          <w:rStyle w:val="paren"/>
        </w:rPr>
        <w:t>.</w:t>
      </w:r>
      <w:r>
        <w:t xml:space="preserve"> A domestic or foreign for-profit organization </w:t>
      </w:r>
    </w:p>
    <w:p w14:paraId="7FE67DB9" w14:textId="77777777" w:rsidR="00317AE6" w:rsidRDefault="00317AE6" w:rsidP="00B143DC">
      <w:pPr>
        <w:pStyle w:val="indent-2"/>
        <w:spacing w:before="0" w:beforeAutospacing="0" w:after="0" w:afterAutospacing="0"/>
        <w:ind w:left="360"/>
        <w:rPr>
          <w:rStyle w:val="paragraph-hierarchy"/>
        </w:rPr>
      </w:pPr>
    </w:p>
    <w:p w14:paraId="051211E7" w14:textId="40E081F5" w:rsidR="00446AC4" w:rsidRDefault="00446AC4" w:rsidP="00B143DC">
      <w:pPr>
        <w:pStyle w:val="indent-2"/>
        <w:spacing w:before="0" w:beforeAutospacing="0" w:after="0" w:afterAutospacing="0"/>
        <w:ind w:left="360"/>
      </w:pPr>
      <w:r>
        <w:rPr>
          <w:rStyle w:val="paragraph-hierarchy"/>
        </w:rPr>
        <w:t>3</w:t>
      </w:r>
      <w:r>
        <w:rPr>
          <w:rStyle w:val="paren"/>
        </w:rPr>
        <w:t>.</w:t>
      </w:r>
      <w:r>
        <w:t xml:space="preserve"> </w:t>
      </w:r>
      <w:r>
        <w:rPr>
          <w:rStyle w:val="Emphasis"/>
          <w:b/>
          <w:bCs/>
        </w:rPr>
        <w:t>Executive</w:t>
      </w:r>
      <w:r>
        <w:t xml:space="preserve"> means officers, managing partners, or any other employees in management positions. </w:t>
      </w:r>
    </w:p>
    <w:p w14:paraId="066A3510" w14:textId="77777777" w:rsidR="00317AE6" w:rsidRDefault="00317AE6" w:rsidP="00B143DC">
      <w:pPr>
        <w:pStyle w:val="indent-2"/>
        <w:spacing w:before="0" w:beforeAutospacing="0" w:after="0" w:afterAutospacing="0"/>
        <w:ind w:left="360"/>
        <w:rPr>
          <w:rStyle w:val="paragraph-hierarchy"/>
        </w:rPr>
      </w:pPr>
    </w:p>
    <w:p w14:paraId="21456B10" w14:textId="579B932E" w:rsidR="00446AC4" w:rsidRDefault="00446AC4" w:rsidP="00B143DC">
      <w:pPr>
        <w:pStyle w:val="indent-2"/>
        <w:spacing w:before="0" w:beforeAutospacing="0" w:after="0" w:afterAutospacing="0"/>
        <w:ind w:left="360"/>
      </w:pPr>
      <w:r>
        <w:rPr>
          <w:rStyle w:val="paragraph-hierarchy"/>
        </w:rPr>
        <w:t>4</w:t>
      </w:r>
      <w:r>
        <w:rPr>
          <w:rStyle w:val="paren"/>
        </w:rPr>
        <w:t>.</w:t>
      </w:r>
      <w:r>
        <w:t xml:space="preserve"> </w:t>
      </w:r>
      <w:r>
        <w:rPr>
          <w:rStyle w:val="Emphasis"/>
          <w:b/>
          <w:bCs/>
        </w:rPr>
        <w:t>Subaward:</w:t>
      </w:r>
      <w:r>
        <w:t xml:space="preserve"> </w:t>
      </w:r>
    </w:p>
    <w:p w14:paraId="7F291BBA" w14:textId="77777777" w:rsidR="00446AC4" w:rsidRDefault="00446AC4" w:rsidP="00B143DC">
      <w:pPr>
        <w:pStyle w:val="indent-3"/>
        <w:spacing w:before="0" w:beforeAutospacing="0" w:after="0" w:afterAutospacing="0"/>
        <w:ind w:left="360"/>
      </w:pPr>
      <w:r>
        <w:rPr>
          <w:rStyle w:val="paragraph-hierarchy"/>
        </w:rPr>
        <w:t>i</w:t>
      </w:r>
      <w:r>
        <w:rPr>
          <w:rStyle w:val="paren"/>
        </w:rPr>
        <w:t>.</w:t>
      </w:r>
      <w:r>
        <w:t xml:space="preserve"> This term means a legal instrument to provide support for the performance of any portion of the substantive project or program for which you received this award and that you as the recipient award to an eligible subrecipient. </w:t>
      </w:r>
    </w:p>
    <w:p w14:paraId="6519BEF7" w14:textId="77777777" w:rsidR="00CF7431" w:rsidRPr="00B143DC" w:rsidRDefault="00CF7431" w:rsidP="00B143DC">
      <w:pPr>
        <w:pStyle w:val="indent-3"/>
        <w:spacing w:before="0" w:beforeAutospacing="0" w:after="0" w:afterAutospacing="0"/>
        <w:ind w:left="360"/>
        <w:rPr>
          <w:rStyle w:val="paragraph-hierarchy"/>
          <w:sz w:val="10"/>
          <w:szCs w:val="10"/>
        </w:rPr>
      </w:pPr>
    </w:p>
    <w:p w14:paraId="6719A362" w14:textId="50443E60" w:rsidR="00446AC4" w:rsidRDefault="00446AC4" w:rsidP="00B143DC">
      <w:pPr>
        <w:pStyle w:val="indent-3"/>
        <w:spacing w:before="0" w:beforeAutospacing="0" w:after="0" w:afterAutospacing="0"/>
        <w:ind w:left="360"/>
      </w:pPr>
      <w:r>
        <w:rPr>
          <w:rStyle w:val="paragraph-hierarchy"/>
        </w:rPr>
        <w:t>ii</w:t>
      </w:r>
      <w:r>
        <w:rPr>
          <w:rStyle w:val="paren"/>
        </w:rPr>
        <w:t>.</w:t>
      </w:r>
      <w:r>
        <w:t xml:space="preserve"> The term does not include your procurement of property and services needed to carry out the project or program (for further explanation, see </w:t>
      </w:r>
      <w:hyperlink r:id="rId43" w:history="1">
        <w:r>
          <w:rPr>
            <w:rStyle w:val="Hyperlink"/>
            <w:rFonts w:eastAsiaTheme="minorEastAsia"/>
          </w:rPr>
          <w:t>2 CFR 200.331</w:t>
        </w:r>
      </w:hyperlink>
      <w:r>
        <w:t xml:space="preserve">). </w:t>
      </w:r>
    </w:p>
    <w:p w14:paraId="6A888A6A" w14:textId="77777777" w:rsidR="00CF7431" w:rsidRPr="00B143DC" w:rsidRDefault="00CF7431" w:rsidP="00B143DC">
      <w:pPr>
        <w:pStyle w:val="indent-3"/>
        <w:spacing w:before="0" w:beforeAutospacing="0" w:after="0" w:afterAutospacing="0"/>
        <w:ind w:left="360"/>
        <w:rPr>
          <w:rStyle w:val="paragraph-hierarchy"/>
          <w:sz w:val="10"/>
          <w:szCs w:val="10"/>
        </w:rPr>
      </w:pPr>
    </w:p>
    <w:p w14:paraId="5D9DC755" w14:textId="71BC940C" w:rsidR="00446AC4" w:rsidRDefault="00446AC4" w:rsidP="00B143DC">
      <w:pPr>
        <w:pStyle w:val="indent-3"/>
        <w:spacing w:before="0" w:beforeAutospacing="0" w:after="0" w:afterAutospacing="0"/>
        <w:ind w:left="360"/>
      </w:pPr>
      <w:r>
        <w:rPr>
          <w:rStyle w:val="paragraph-hierarchy"/>
        </w:rPr>
        <w:t>iii</w:t>
      </w:r>
      <w:r>
        <w:rPr>
          <w:rStyle w:val="paren"/>
        </w:rPr>
        <w:t>.</w:t>
      </w:r>
      <w:r>
        <w:t xml:space="preserve"> A subaward may be provided through any legal agreement, including an agreement that you or a subrecipient considers a contract. </w:t>
      </w:r>
    </w:p>
    <w:p w14:paraId="4A987AB7" w14:textId="77777777" w:rsidR="00317AE6" w:rsidRDefault="00317AE6" w:rsidP="00B143DC">
      <w:pPr>
        <w:pStyle w:val="indent-2"/>
        <w:spacing w:before="0" w:beforeAutospacing="0" w:after="0" w:afterAutospacing="0"/>
        <w:ind w:left="360"/>
        <w:rPr>
          <w:rStyle w:val="paragraph-hierarchy"/>
        </w:rPr>
      </w:pPr>
    </w:p>
    <w:p w14:paraId="08F4F4D4" w14:textId="1FEC62D6" w:rsidR="00446AC4" w:rsidRDefault="00446AC4" w:rsidP="00B143DC">
      <w:pPr>
        <w:pStyle w:val="indent-2"/>
        <w:spacing w:before="0" w:beforeAutospacing="0" w:after="0" w:afterAutospacing="0"/>
        <w:ind w:left="360"/>
      </w:pPr>
      <w:r>
        <w:rPr>
          <w:rStyle w:val="paragraph-hierarchy"/>
        </w:rPr>
        <w:t>5</w:t>
      </w:r>
      <w:r>
        <w:rPr>
          <w:rStyle w:val="paren"/>
        </w:rPr>
        <w:t>.</w:t>
      </w:r>
      <w:r>
        <w:t xml:space="preserve"> </w:t>
      </w:r>
      <w:r>
        <w:rPr>
          <w:rStyle w:val="Emphasis"/>
          <w:b/>
          <w:bCs/>
        </w:rPr>
        <w:t>Subrecipient</w:t>
      </w:r>
      <w:r>
        <w:t xml:space="preserve"> means a non-Federal entity or Federal agency that: </w:t>
      </w:r>
    </w:p>
    <w:p w14:paraId="3861208A" w14:textId="77777777" w:rsidR="00446AC4" w:rsidRDefault="00446AC4" w:rsidP="00B143DC">
      <w:pPr>
        <w:pStyle w:val="indent-3"/>
        <w:spacing w:before="0" w:beforeAutospacing="0" w:after="0" w:afterAutospacing="0"/>
        <w:ind w:left="360"/>
      </w:pPr>
      <w:r>
        <w:rPr>
          <w:rStyle w:val="paragraph-hierarchy"/>
        </w:rPr>
        <w:t>i</w:t>
      </w:r>
      <w:r>
        <w:rPr>
          <w:rStyle w:val="paren"/>
        </w:rPr>
        <w:t>.</w:t>
      </w:r>
      <w:r>
        <w:t xml:space="preserve"> Receives a subaward from you (the recipient) under this award; and </w:t>
      </w:r>
    </w:p>
    <w:p w14:paraId="29F2835B" w14:textId="77777777" w:rsidR="00CF7431" w:rsidRPr="00B143DC" w:rsidRDefault="00CF7431" w:rsidP="00B143DC">
      <w:pPr>
        <w:pStyle w:val="indent-3"/>
        <w:spacing w:before="0" w:beforeAutospacing="0" w:after="0" w:afterAutospacing="0"/>
        <w:ind w:left="360"/>
        <w:rPr>
          <w:rStyle w:val="paragraph-hierarchy"/>
          <w:sz w:val="10"/>
          <w:szCs w:val="10"/>
        </w:rPr>
      </w:pPr>
    </w:p>
    <w:p w14:paraId="012A1877" w14:textId="2C573E01" w:rsidR="00446AC4" w:rsidRDefault="00446AC4" w:rsidP="00B143DC">
      <w:pPr>
        <w:pStyle w:val="indent-3"/>
        <w:spacing w:before="0" w:beforeAutospacing="0" w:after="0" w:afterAutospacing="0"/>
        <w:ind w:left="360"/>
      </w:pPr>
      <w:r>
        <w:rPr>
          <w:rStyle w:val="paragraph-hierarchy"/>
        </w:rPr>
        <w:t>ii</w:t>
      </w:r>
      <w:r>
        <w:rPr>
          <w:rStyle w:val="paren"/>
        </w:rPr>
        <w:t>.</w:t>
      </w:r>
      <w:r>
        <w:t xml:space="preserve"> Is accountable to you for the use of the Federal funds provided by the subaward. </w:t>
      </w:r>
    </w:p>
    <w:p w14:paraId="09D4000F" w14:textId="77777777" w:rsidR="00317AE6" w:rsidRDefault="00317AE6" w:rsidP="00B143DC">
      <w:pPr>
        <w:pStyle w:val="indent-2"/>
        <w:spacing w:before="0" w:beforeAutospacing="0" w:after="0" w:afterAutospacing="0"/>
        <w:ind w:left="360"/>
        <w:rPr>
          <w:rStyle w:val="paragraph-hierarchy"/>
        </w:rPr>
      </w:pPr>
    </w:p>
    <w:p w14:paraId="46F947E6" w14:textId="19ADEF78" w:rsidR="00446AC4" w:rsidRDefault="00446AC4" w:rsidP="00B143DC">
      <w:pPr>
        <w:pStyle w:val="indent-2"/>
        <w:spacing w:before="0" w:beforeAutospacing="0" w:after="0" w:afterAutospacing="0"/>
        <w:ind w:left="360"/>
      </w:pPr>
      <w:r>
        <w:rPr>
          <w:rStyle w:val="paragraph-hierarchy"/>
        </w:rPr>
        <w:t>6</w:t>
      </w:r>
      <w:r>
        <w:rPr>
          <w:rStyle w:val="paren"/>
        </w:rPr>
        <w:t>.</w:t>
      </w:r>
      <w:r>
        <w:t xml:space="preserve"> </w:t>
      </w:r>
      <w:r>
        <w:rPr>
          <w:rStyle w:val="Emphasis"/>
          <w:b/>
          <w:bCs/>
        </w:rPr>
        <w:t>Total compensation</w:t>
      </w:r>
      <w:r>
        <w:t xml:space="preserve"> means the cash and noncash dollar value earned by the executive during the recipient's or subrecipient's preceding fiscal year and includes the following (for more information see </w:t>
      </w:r>
      <w:hyperlink r:id="rId44" w:anchor="p-229.402(c)(2)" w:history="1">
        <w:r>
          <w:rPr>
            <w:rStyle w:val="Hyperlink"/>
            <w:rFonts w:eastAsiaTheme="minorEastAsia"/>
          </w:rPr>
          <w:t>17 CFR 229.402(c)(2)</w:t>
        </w:r>
      </w:hyperlink>
      <w:r>
        <w:t>).</w:t>
      </w:r>
    </w:p>
    <w:p w14:paraId="40C8928E" w14:textId="77777777" w:rsidR="00317AE6" w:rsidRDefault="00317AE6" w:rsidP="00B143DC">
      <w:pPr>
        <w:pStyle w:val="indent-2"/>
        <w:spacing w:before="0" w:beforeAutospacing="0" w:after="0" w:afterAutospacing="0"/>
        <w:ind w:left="360"/>
      </w:pPr>
    </w:p>
    <w:p w14:paraId="05244D48" w14:textId="4491D367" w:rsidR="00E0334F" w:rsidRPr="00C87CF0" w:rsidRDefault="00E0334F" w:rsidP="00C87CF0">
      <w:pPr>
        <w:pStyle w:val="Heading1"/>
        <w:ind w:left="360"/>
      </w:pPr>
      <w:r w:rsidRPr="00C87CF0">
        <w:t xml:space="preserve">Eminent Domain. </w:t>
      </w:r>
    </w:p>
    <w:p w14:paraId="5CB57369" w14:textId="1772269D" w:rsidR="00E0334F" w:rsidRPr="005C4F6E" w:rsidRDefault="00875E1D" w:rsidP="00E0334F">
      <w:pPr>
        <w:autoSpaceDE w:val="0"/>
        <w:autoSpaceDN w:val="0"/>
        <w:adjustRightInd w:val="0"/>
        <w:rPr>
          <w:rFonts w:eastAsiaTheme="minorHAnsi" w:cs="Times New Roman"/>
          <w:szCs w:val="24"/>
        </w:rPr>
      </w:pPr>
      <w:r w:rsidRPr="005C4F6E">
        <w:rPr>
          <w:rFonts w:eastAsiaTheme="minorHAnsi" w:cs="Times New Roman"/>
          <w:szCs w:val="24"/>
        </w:rPr>
        <w:t>No Federal fund</w:t>
      </w:r>
      <w:r w:rsidR="009E2C33" w:rsidRPr="005C4F6E">
        <w:rPr>
          <w:rFonts w:eastAsiaTheme="minorHAnsi" w:cs="Times New Roman"/>
          <w:szCs w:val="24"/>
        </w:rPr>
        <w:t xml:space="preserve">s </w:t>
      </w:r>
      <w:r w:rsidRPr="005C4F6E">
        <w:rPr>
          <w:rFonts w:eastAsiaTheme="minorHAnsi" w:cs="Times New Roman"/>
          <w:szCs w:val="24"/>
        </w:rPr>
        <w:t xml:space="preserve">provided under the Federal award </w:t>
      </w:r>
      <w:r w:rsidR="003642CD" w:rsidRPr="005C4F6E">
        <w:rPr>
          <w:rFonts w:eastAsiaTheme="minorHAnsi" w:cs="Times New Roman"/>
          <w:szCs w:val="24"/>
        </w:rPr>
        <w:t xml:space="preserve">may be used </w:t>
      </w:r>
      <w:r w:rsidR="00E0334F" w:rsidRPr="005C4F6E">
        <w:rPr>
          <w:rFonts w:eastAsiaTheme="minorHAnsi" w:cs="Times New Roman"/>
          <w:szCs w:val="24"/>
        </w:rPr>
        <w:t xml:space="preserve">to support any Federal, state, or local project that seeks to use the power of eminent domain, unless eminent domain is employed only for a public use. Public use shall not be construed to include economic development that primarily benefits private entities. Use of funds for mass transit, railroad, airport, seaport, or highway projects, and utility projects which benefit or serve the general public (including energy-related, communication-related, water-related, and waste water-related infrastructure), other </w:t>
      </w:r>
      <w:r w:rsidR="00E0334F" w:rsidRPr="005C4F6E">
        <w:rPr>
          <w:rFonts w:eastAsiaTheme="minorHAnsi" w:cs="Times New Roman"/>
          <w:szCs w:val="24"/>
        </w:rPr>
        <w:lastRenderedPageBreak/>
        <w:t xml:space="preserve">structures designated for use by the general public or with other common-carrier or public-utility functions that serve the general public and are subject to regulation and oversight by the government, and projects for the removal of an immediate threat to public health and safety or brownfields, as defined in the Small Business Liability Relief and Brownfields Revitalization Act (Pub. L. 107-118), will be a public use for Section 407 purposes. </w:t>
      </w:r>
    </w:p>
    <w:p w14:paraId="38195C16" w14:textId="113CDF63" w:rsidR="00E0334F" w:rsidRPr="00C87CF0" w:rsidRDefault="00E0334F" w:rsidP="00C87CF0">
      <w:pPr>
        <w:pStyle w:val="Heading1"/>
        <w:ind w:left="360"/>
      </w:pPr>
      <w:r w:rsidRPr="00C87CF0">
        <w:t xml:space="preserve">Accessibility for Persons with Disabilities. </w:t>
      </w:r>
    </w:p>
    <w:p w14:paraId="3FEE82C5" w14:textId="77777777" w:rsidR="00E0334F" w:rsidRPr="005C4F6E" w:rsidRDefault="00E0334F" w:rsidP="00E0334F">
      <w:pPr>
        <w:autoSpaceDE w:val="0"/>
        <w:autoSpaceDN w:val="0"/>
        <w:adjustRightInd w:val="0"/>
        <w:rPr>
          <w:rFonts w:eastAsiaTheme="minorHAnsi" w:cs="Times New Roman"/>
          <w:szCs w:val="24"/>
        </w:rPr>
      </w:pPr>
      <w:r w:rsidRPr="005C4F6E">
        <w:rPr>
          <w:rFonts w:eastAsiaTheme="minorHAnsi" w:cs="Times New Roman"/>
          <w:szCs w:val="24"/>
        </w:rPr>
        <w:t xml:space="preserve">For all HUD-funded activities: </w:t>
      </w:r>
    </w:p>
    <w:p w14:paraId="1DB0B05E" w14:textId="1130FEEA" w:rsidR="006E3CE8" w:rsidRPr="005C4F6E" w:rsidRDefault="00E0334F" w:rsidP="00E0334F">
      <w:pPr>
        <w:autoSpaceDE w:val="0"/>
        <w:autoSpaceDN w:val="0"/>
        <w:adjustRightInd w:val="0"/>
        <w:rPr>
          <w:rFonts w:eastAsiaTheme="minorHAnsi" w:cs="Times New Roman"/>
          <w:szCs w:val="24"/>
        </w:rPr>
      </w:pPr>
      <w:r w:rsidRPr="005C4F6E">
        <w:rPr>
          <w:rFonts w:eastAsiaTheme="minorHAnsi" w:cs="Times New Roman"/>
          <w:szCs w:val="24"/>
        </w:rPr>
        <w:t xml:space="preserve">a. All meetings must be </w:t>
      </w:r>
      <w:r w:rsidR="00B00170" w:rsidRPr="005C4F6E">
        <w:rPr>
          <w:rFonts w:eastAsiaTheme="minorHAnsi" w:cs="Times New Roman"/>
          <w:szCs w:val="24"/>
        </w:rPr>
        <w:t>held,</w:t>
      </w:r>
      <w:r w:rsidRPr="005C4F6E">
        <w:rPr>
          <w:rFonts w:eastAsiaTheme="minorHAnsi" w:cs="Times New Roman"/>
          <w:szCs w:val="24"/>
        </w:rPr>
        <w:t xml:space="preserve"> and services provided</w:t>
      </w:r>
      <w:r w:rsidR="00846E74" w:rsidRPr="005C4F6E">
        <w:rPr>
          <w:rFonts w:eastAsiaTheme="minorHAnsi" w:cs="Times New Roman"/>
          <w:szCs w:val="24"/>
        </w:rPr>
        <w:t>,</w:t>
      </w:r>
      <w:r w:rsidRPr="005C4F6E">
        <w:rPr>
          <w:rFonts w:eastAsiaTheme="minorHAnsi" w:cs="Times New Roman"/>
          <w:szCs w:val="24"/>
        </w:rPr>
        <w:t xml:space="preserve"> in facilities that are physically accessible to persons with disabilities. </w:t>
      </w:r>
      <w:r w:rsidR="000A0AAB">
        <w:rPr>
          <w:rFonts w:eastAsiaTheme="minorHAnsi" w:cs="Times New Roman"/>
          <w:szCs w:val="24"/>
        </w:rPr>
        <w:t xml:space="preserve"> </w:t>
      </w:r>
      <w:r w:rsidR="00E34820">
        <w:rPr>
          <w:rFonts w:eastAsiaTheme="minorHAnsi" w:cs="Times New Roman"/>
          <w:szCs w:val="24"/>
        </w:rPr>
        <w:t>R</w:t>
      </w:r>
      <w:r w:rsidR="00B90940" w:rsidRPr="005C4F6E">
        <w:rPr>
          <w:rFonts w:eastAsiaTheme="minorHAnsi" w:cs="Times New Roman"/>
          <w:szCs w:val="24"/>
        </w:rPr>
        <w:t>ecipients and subrecipients</w:t>
      </w:r>
      <w:r w:rsidRPr="005C4F6E">
        <w:rPr>
          <w:rFonts w:eastAsiaTheme="minorHAnsi" w:cs="Times New Roman"/>
          <w:szCs w:val="24"/>
        </w:rPr>
        <w:t xml:space="preserve"> must give priority to alternative methods of product or information delivery that offer programs and activities to qualified individuals with disabilities in the most integrated setting appropriate in accordance with HUD’s implementing regulations for section 504 of the Rehabilitation Act of 1973 (29 U.S.C.§</w:t>
      </w:r>
      <w:r w:rsidR="000D6602" w:rsidRPr="005C4F6E">
        <w:rPr>
          <w:rFonts w:eastAsiaTheme="minorHAnsi" w:cs="Times New Roman"/>
          <w:szCs w:val="24"/>
        </w:rPr>
        <w:t xml:space="preserve"> </w:t>
      </w:r>
      <w:r w:rsidRPr="005C4F6E">
        <w:rPr>
          <w:rFonts w:eastAsiaTheme="minorHAnsi" w:cs="Times New Roman"/>
          <w:szCs w:val="24"/>
        </w:rPr>
        <w:t>794) at 24 CFR part 8, subpart C; and</w:t>
      </w:r>
      <w:r w:rsidR="00B90940" w:rsidRPr="005C4F6E">
        <w:rPr>
          <w:rFonts w:eastAsiaTheme="minorHAnsi" w:cs="Times New Roman"/>
          <w:szCs w:val="24"/>
        </w:rPr>
        <w:t xml:space="preserve"> </w:t>
      </w:r>
    </w:p>
    <w:p w14:paraId="04AD2C10" w14:textId="58132E57" w:rsidR="00437FD8" w:rsidRPr="005C4F6E" w:rsidRDefault="00E0334F" w:rsidP="00437FD8">
      <w:pPr>
        <w:autoSpaceDE w:val="0"/>
        <w:autoSpaceDN w:val="0"/>
        <w:adjustRightInd w:val="0"/>
        <w:rPr>
          <w:rFonts w:eastAsiaTheme="minorHAnsi" w:cs="Times New Roman"/>
          <w:szCs w:val="24"/>
        </w:rPr>
      </w:pPr>
      <w:r w:rsidRPr="005C4F6E">
        <w:rPr>
          <w:rFonts w:eastAsiaTheme="minorHAnsi" w:cs="Times New Roman"/>
          <w:szCs w:val="24"/>
        </w:rPr>
        <w:t>b. All notices of and communications during training sessions and public meetings shall be provided in a manner that is effective for persons with hearing, visual, and other communication-related disabilities or provide other means of accommodation for persons with disabilities consistent with section 504 of the Rehabilitation Act of 1973 and HUD’s Section 504 regulations. Recipients</w:t>
      </w:r>
      <w:r w:rsidR="00B90940" w:rsidRPr="005C4F6E">
        <w:rPr>
          <w:rFonts w:eastAsiaTheme="minorHAnsi" w:cs="Times New Roman"/>
          <w:szCs w:val="24"/>
        </w:rPr>
        <w:t xml:space="preserve"> and subrecipients</w:t>
      </w:r>
      <w:r w:rsidRPr="005C4F6E">
        <w:rPr>
          <w:rFonts w:eastAsiaTheme="minorHAnsi" w:cs="Times New Roman"/>
          <w:szCs w:val="24"/>
        </w:rPr>
        <w:t xml:space="preserve"> must provide appropriate auxiliary aids and services necessary to ensure effective communication, which includes ensuring that information is provided in appropriate accessible formats as needed, e.g., Braille, audio, large type, assistive listening devices, sign language interpreters, accessible websites, and other electronic communications. </w:t>
      </w:r>
      <w:hyperlink r:id="rId45" w:history="1">
        <w:r w:rsidRPr="005C4F6E">
          <w:rPr>
            <w:rFonts w:cs="Times New Roman"/>
            <w:i/>
            <w:color w:val="0000FF"/>
            <w:szCs w:val="24"/>
          </w:rPr>
          <w:t>See</w:t>
        </w:r>
        <w:r w:rsidRPr="005C4F6E">
          <w:rPr>
            <w:rFonts w:eastAsia="Times New Roman" w:cs="Times New Roman"/>
            <w:color w:val="0000FF"/>
            <w:szCs w:val="24"/>
          </w:rPr>
          <w:t xml:space="preserve"> 24 CFR Section 8.6; 28 CFR 35.160, 36.303.</w:t>
        </w:r>
      </w:hyperlink>
      <w:r w:rsidRPr="005C4F6E">
        <w:rPr>
          <w:rFonts w:eastAsiaTheme="minorHAnsi" w:cs="Times New Roman"/>
          <w:szCs w:val="24"/>
        </w:rPr>
        <w:t xml:space="preserve"> </w:t>
      </w:r>
    </w:p>
    <w:p w14:paraId="6BAE908A" w14:textId="66FC2489" w:rsidR="00460CF3" w:rsidRPr="00C87CF0" w:rsidRDefault="00460CF3" w:rsidP="00C87CF0">
      <w:pPr>
        <w:pStyle w:val="Heading1"/>
        <w:ind w:left="360"/>
      </w:pPr>
      <w:r w:rsidRPr="00C87CF0">
        <w:t xml:space="preserve">Violence Against Women Act. </w:t>
      </w:r>
    </w:p>
    <w:p w14:paraId="22EBDECB" w14:textId="1CF1670A" w:rsidR="00460CF3" w:rsidRDefault="00460CF3" w:rsidP="007B6DE1">
      <w:pPr>
        <w:autoSpaceDE w:val="0"/>
        <w:autoSpaceDN w:val="0"/>
        <w:adjustRightInd w:val="0"/>
        <w:rPr>
          <w:rFonts w:cs="Times New Roman"/>
          <w:szCs w:val="24"/>
        </w:rPr>
      </w:pPr>
      <w:r w:rsidRPr="00642F05">
        <w:rPr>
          <w:rFonts w:cs="Times New Roman"/>
          <w:szCs w:val="24"/>
        </w:rPr>
        <w:t xml:space="preserve">The </w:t>
      </w:r>
      <w:r w:rsidR="00153F29" w:rsidRPr="00642F05">
        <w:rPr>
          <w:rFonts w:cs="Times New Roman"/>
          <w:szCs w:val="24"/>
        </w:rPr>
        <w:t xml:space="preserve">Violence Against Women </w:t>
      </w:r>
      <w:r w:rsidRPr="00642F05">
        <w:rPr>
          <w:rFonts w:cs="Times New Roman"/>
          <w:szCs w:val="24"/>
        </w:rPr>
        <w:t>Act of 1994</w:t>
      </w:r>
      <w:r w:rsidR="00602148" w:rsidRPr="00642F05">
        <w:rPr>
          <w:rFonts w:cs="Times New Roman"/>
          <w:szCs w:val="24"/>
        </w:rPr>
        <w:t>, as amended</w:t>
      </w:r>
      <w:r w:rsidRPr="00642F05">
        <w:rPr>
          <w:rFonts w:cs="Times New Roman"/>
          <w:szCs w:val="24"/>
        </w:rPr>
        <w:t xml:space="preserve"> </w:t>
      </w:r>
      <w:r w:rsidRPr="00642F05" w:rsidDel="00460CF3">
        <w:rPr>
          <w:rFonts w:cs="Times New Roman"/>
          <w:szCs w:val="24"/>
        </w:rPr>
        <w:t>(VAWA)</w:t>
      </w:r>
      <w:r w:rsidR="00D61256">
        <w:rPr>
          <w:rFonts w:cs="Times New Roman"/>
          <w:szCs w:val="24"/>
        </w:rPr>
        <w:t>,</w:t>
      </w:r>
      <w:r w:rsidR="00CD4B8B" w:rsidRPr="00642F05">
        <w:rPr>
          <w:rFonts w:cs="Times New Roman"/>
          <w:szCs w:val="24"/>
        </w:rPr>
        <w:t xml:space="preserve"> </w:t>
      </w:r>
      <w:r w:rsidRPr="00642F05">
        <w:rPr>
          <w:rFonts w:cs="Times New Roman"/>
          <w:szCs w:val="24"/>
        </w:rPr>
        <w:t>provide</w:t>
      </w:r>
      <w:r w:rsidR="00602148" w:rsidRPr="00642F05">
        <w:rPr>
          <w:rFonts w:cs="Times New Roman"/>
          <w:szCs w:val="24"/>
        </w:rPr>
        <w:t>s</w:t>
      </w:r>
      <w:r w:rsidRPr="00642F05">
        <w:rPr>
          <w:rFonts w:cs="Times New Roman"/>
          <w:szCs w:val="24"/>
        </w:rPr>
        <w:t xml:space="preserve"> housing protections for victims of domestic violence, dating violence, sexual assault, and stalking in many of HUD’s housing programs. HUD’s </w:t>
      </w:r>
      <w:r w:rsidR="00CF1794">
        <w:rPr>
          <w:rFonts w:cs="Times New Roman"/>
          <w:szCs w:val="24"/>
        </w:rPr>
        <w:t>r</w:t>
      </w:r>
      <w:r w:rsidRPr="00642F05">
        <w:rPr>
          <w:rFonts w:cs="Times New Roman"/>
          <w:szCs w:val="24"/>
        </w:rPr>
        <w:t xml:space="preserve">egulations </w:t>
      </w:r>
      <w:r w:rsidR="00CF1794">
        <w:rPr>
          <w:rFonts w:cs="Times New Roman"/>
          <w:szCs w:val="24"/>
        </w:rPr>
        <w:t>implementing</w:t>
      </w:r>
      <w:r w:rsidRPr="00642F05">
        <w:rPr>
          <w:rFonts w:cs="Times New Roman"/>
          <w:szCs w:val="24"/>
        </w:rPr>
        <w:t xml:space="preserve"> VAWA</w:t>
      </w:r>
      <w:r w:rsidR="00CF1794">
        <w:rPr>
          <w:rFonts w:cs="Times New Roman"/>
          <w:szCs w:val="24"/>
        </w:rPr>
        <w:t>, as amended by the Violence Against Women Reauthorization Act of 2013,</w:t>
      </w:r>
      <w:r w:rsidRPr="00642F05">
        <w:rPr>
          <w:rFonts w:cs="Times New Roman"/>
          <w:szCs w:val="24"/>
        </w:rPr>
        <w:t xml:space="preserve"> are found in the applicable program regulations and 24 CFR Part 5, Subpart L, Protection for Victims of Domestic Violence, Dating Violence, Sexual Assault, or Stalking (collectively, the VAWA rule). The specific HUD programs that are subject to the VAWA </w:t>
      </w:r>
      <w:r w:rsidR="00E133D4">
        <w:rPr>
          <w:rFonts w:cs="Times New Roman"/>
          <w:szCs w:val="24"/>
        </w:rPr>
        <w:t xml:space="preserve">housing protections </w:t>
      </w:r>
      <w:r w:rsidRPr="00642F05">
        <w:rPr>
          <w:rFonts w:cs="Times New Roman"/>
          <w:szCs w:val="24"/>
        </w:rPr>
        <w:t>are listed in the “covered housing program” definition at 24 CFR 5.2003</w:t>
      </w:r>
      <w:r w:rsidR="00F72263">
        <w:t xml:space="preserve">, and as may be identified by HUD </w:t>
      </w:r>
      <w:bookmarkStart w:id="6" w:name="_Hlk117151176"/>
      <w:r w:rsidR="00F72263">
        <w:t>through further regulations, notices, or any other means</w:t>
      </w:r>
      <w:bookmarkEnd w:id="6"/>
      <w:r w:rsidRPr="00642F05">
        <w:rPr>
          <w:rFonts w:cs="Times New Roman"/>
          <w:szCs w:val="24"/>
        </w:rPr>
        <w:t xml:space="preserve">. In general, the VAWA rule provides that an applicant for assistance or tenant assisted under a covered housing program may not be denied admission to, denied assistance under, terminated from participation in, or evicted from the housing on the basis or as a direct result of the fact that the applicant or tenant is or has been a victim of domestic violence, dating violence, sexual assault, or stalking, if the applicant or tenant otherwise qualifies for admission, assistance, participation, or occupancy. The VAWA rule also requires the establishment of emergency transfer plans for facilitating the emergency relocation of certain tenants who are victims of domestic violence, dating violence, sexual assault, or stalking. For the specific requirements of the VAWA rule, </w:t>
      </w:r>
      <w:r w:rsidR="00306761">
        <w:rPr>
          <w:rFonts w:cs="Times New Roman"/>
          <w:szCs w:val="24"/>
        </w:rPr>
        <w:t>see</w:t>
      </w:r>
      <w:r w:rsidRPr="00642F05">
        <w:rPr>
          <w:rFonts w:cs="Times New Roman"/>
          <w:szCs w:val="24"/>
        </w:rPr>
        <w:t xml:space="preserve"> 24 CFR Part 5, Subpart L, and the applicable program regulations. </w:t>
      </w:r>
      <w:r w:rsidR="007B6DE1" w:rsidRPr="007B6DE1">
        <w:rPr>
          <w:rFonts w:cs="Times New Roman"/>
          <w:szCs w:val="24"/>
        </w:rPr>
        <w:t xml:space="preserve">VAWA, as reauthorized </w:t>
      </w:r>
      <w:r w:rsidR="005B6132">
        <w:rPr>
          <w:rFonts w:cs="Times New Roman"/>
          <w:szCs w:val="24"/>
        </w:rPr>
        <w:t xml:space="preserve">by the </w:t>
      </w:r>
      <w:r w:rsidR="005B6132" w:rsidRPr="005B6132">
        <w:rPr>
          <w:rFonts w:cs="Times New Roman"/>
          <w:szCs w:val="24"/>
        </w:rPr>
        <w:t>Violence Against Women Act Reauthorization Act of 2022</w:t>
      </w:r>
      <w:r w:rsidR="007B6DE1" w:rsidRPr="007B6DE1">
        <w:rPr>
          <w:rFonts w:cs="Times New Roman"/>
          <w:szCs w:val="24"/>
        </w:rPr>
        <w:t xml:space="preserve">, </w:t>
      </w:r>
      <w:r w:rsidR="008B08AD">
        <w:rPr>
          <w:rFonts w:cs="Times New Roman"/>
          <w:szCs w:val="24"/>
        </w:rPr>
        <w:t>further</w:t>
      </w:r>
      <w:r w:rsidR="008B08AD" w:rsidRPr="007B6DE1">
        <w:rPr>
          <w:rFonts w:cs="Times New Roman"/>
          <w:szCs w:val="24"/>
        </w:rPr>
        <w:t xml:space="preserve"> </w:t>
      </w:r>
      <w:r w:rsidR="007B6DE1" w:rsidRPr="007B6DE1">
        <w:rPr>
          <w:rFonts w:cs="Times New Roman"/>
          <w:szCs w:val="24"/>
        </w:rPr>
        <w:t>provides that no public housing agency or owner or manager or housing assisted under a covered housing program shall discriminate against</w:t>
      </w:r>
      <w:r w:rsidR="007B6DE1">
        <w:rPr>
          <w:rFonts w:cs="Times New Roman"/>
          <w:szCs w:val="24"/>
        </w:rPr>
        <w:t xml:space="preserve"> </w:t>
      </w:r>
      <w:r w:rsidR="007B6DE1" w:rsidRPr="007B6DE1">
        <w:rPr>
          <w:rFonts w:cs="Times New Roman"/>
          <w:szCs w:val="24"/>
        </w:rPr>
        <w:t xml:space="preserve">any person because that person has opposed any act or practice made unlawful by the housing title of VAWA or because that person testified, assisted, or participated in any related matter. It also </w:t>
      </w:r>
      <w:r w:rsidR="007B6DE1" w:rsidRPr="007B6DE1">
        <w:rPr>
          <w:rFonts w:cs="Times New Roman"/>
          <w:szCs w:val="24"/>
        </w:rPr>
        <w:lastRenderedPageBreak/>
        <w:t>provides that no public housing agency or owner or manager of housing assisted under a covered</w:t>
      </w:r>
      <w:r w:rsidR="007B6DE1">
        <w:rPr>
          <w:rFonts w:cs="Times New Roman"/>
          <w:szCs w:val="24"/>
        </w:rPr>
        <w:t xml:space="preserve"> </w:t>
      </w:r>
      <w:r w:rsidR="007B6DE1" w:rsidRPr="007B6DE1">
        <w:rPr>
          <w:rFonts w:cs="Times New Roman"/>
          <w:szCs w:val="24"/>
        </w:rPr>
        <w:t>housing program shall coerce, intimidate, threaten, interfere with, or retaliate against any person who exercises or assists or encourages a person to exercise any rights or protections under the housing title of VAWA. VAWA also protects the right to report crime and emergencies from housing. It establishes that landlords, homeowners, tenants, residents, occupants, and guests of, and</w:t>
      </w:r>
      <w:r w:rsidR="007B6DE1">
        <w:rPr>
          <w:rFonts w:cs="Times New Roman"/>
          <w:szCs w:val="24"/>
        </w:rPr>
        <w:t xml:space="preserve"> </w:t>
      </w:r>
      <w:r w:rsidR="007B6DE1" w:rsidRPr="007B6DE1">
        <w:rPr>
          <w:rFonts w:cs="Times New Roman"/>
          <w:szCs w:val="24"/>
        </w:rPr>
        <w:t>applicants for, housing shall have the right to seek law enforcement or emergency assistance on their own behalf or on behalf of another person in need of assistance. It prohibits application of actual or threatened penalties based on requests for assistance or based on criminal activity of which</w:t>
      </w:r>
      <w:r w:rsidR="007B6DE1">
        <w:rPr>
          <w:rFonts w:cs="Times New Roman"/>
          <w:szCs w:val="24"/>
        </w:rPr>
        <w:t xml:space="preserve"> </w:t>
      </w:r>
      <w:r w:rsidR="007B6DE1" w:rsidRPr="007B6DE1">
        <w:rPr>
          <w:rFonts w:cs="Times New Roman"/>
          <w:szCs w:val="24"/>
        </w:rPr>
        <w:t>an individual is a victim or otherwise not at fault under the laws or policies adopted or enforced by “covered governmental entities” meaning any municipal, county, or State government that receives funding under Section 106 of the Housing and Community Development Act of 1974.</w:t>
      </w:r>
    </w:p>
    <w:p w14:paraId="1CFA7701" w14:textId="2C6EB4FF" w:rsidR="00E0334F" w:rsidRPr="00C87CF0" w:rsidRDefault="00E0334F" w:rsidP="00C87CF0">
      <w:pPr>
        <w:pStyle w:val="Heading1"/>
        <w:ind w:left="360"/>
      </w:pPr>
      <w:r w:rsidRPr="00C87CF0">
        <w:t xml:space="preserve">Conducting Business in Accordance with Ethical Standards </w:t>
      </w:r>
    </w:p>
    <w:p w14:paraId="477DC9AD" w14:textId="2E22560E" w:rsidR="00DE7DE7" w:rsidRPr="004F2371" w:rsidRDefault="00E0334F" w:rsidP="00C87CF0">
      <w:pPr>
        <w:pStyle w:val="Heading2"/>
        <w:numPr>
          <w:ilvl w:val="0"/>
          <w:numId w:val="42"/>
        </w:numPr>
      </w:pPr>
      <w:r w:rsidRPr="004F2371">
        <w:t xml:space="preserve">Code of Conduct for Procuring Property and Services. </w:t>
      </w:r>
    </w:p>
    <w:p w14:paraId="1969CB3B" w14:textId="36D4E436" w:rsidR="006E3CE8" w:rsidRPr="00D0646A" w:rsidRDefault="00E0334F" w:rsidP="00B143DC">
      <w:pPr>
        <w:pStyle w:val="ListParagraph"/>
        <w:autoSpaceDE w:val="0"/>
        <w:autoSpaceDN w:val="0"/>
        <w:adjustRightInd w:val="0"/>
        <w:ind w:left="360"/>
        <w:rPr>
          <w:rFonts w:eastAsiaTheme="minorHAnsi" w:cs="Times New Roman"/>
          <w:szCs w:val="24"/>
        </w:rPr>
      </w:pPr>
      <w:r w:rsidRPr="00D0646A">
        <w:rPr>
          <w:rFonts w:cs="Times New Roman"/>
          <w:szCs w:val="24"/>
        </w:rPr>
        <w:t>All Federal award recipients, except states, and all subrecipients under Federal awards must have a code of conduct (or written standards of conduct) for procurements that meets all requirements in 2 CFR 200.318(c). Before entering into an agreement with HUD, each applicant selected for</w:t>
      </w:r>
      <w:r w:rsidR="00FD08F6" w:rsidRPr="00D0646A">
        <w:rPr>
          <w:rFonts w:cs="Times New Roman"/>
          <w:szCs w:val="24"/>
        </w:rPr>
        <w:t xml:space="preserve"> an</w:t>
      </w:r>
      <w:r w:rsidRPr="00D0646A">
        <w:rPr>
          <w:rFonts w:cs="Times New Roman"/>
          <w:szCs w:val="24"/>
        </w:rPr>
        <w:t xml:space="preserve"> award (other than a state) must ensure an up-to-date copy of the organization’s code of conduct, dated and signed by the Executive Director, Chair, or equivalent official, of the governing body of the organization, is available in Code of Conduct e-library. Applicants can check the </w:t>
      </w:r>
      <w:hyperlink r:id="rId46">
        <w:r w:rsidRPr="00D0646A">
          <w:rPr>
            <w:rFonts w:eastAsia="Times New Roman" w:cs="Times New Roman"/>
            <w:color w:val="0000FF"/>
            <w:szCs w:val="24"/>
          </w:rPr>
          <w:t>Code of Conduct List</w:t>
        </w:r>
      </w:hyperlink>
      <w:r w:rsidRPr="00D0646A">
        <w:rPr>
          <w:rFonts w:eastAsia="Times New Roman" w:cs="Times New Roman"/>
          <w:color w:val="0000FF"/>
          <w:szCs w:val="24"/>
        </w:rPr>
        <w:t xml:space="preserve"> </w:t>
      </w:r>
      <w:r w:rsidRPr="00D0646A">
        <w:rPr>
          <w:rFonts w:cs="Times New Roman"/>
          <w:szCs w:val="24"/>
        </w:rPr>
        <w:t>to confirm</w:t>
      </w:r>
      <w:r w:rsidR="00CA565A">
        <w:rPr>
          <w:rFonts w:cs="Times New Roman"/>
          <w:szCs w:val="24"/>
        </w:rPr>
        <w:t xml:space="preserve"> that</w:t>
      </w:r>
      <w:r w:rsidRPr="00D0646A">
        <w:rPr>
          <w:rFonts w:cs="Times New Roman"/>
          <w:szCs w:val="24"/>
        </w:rPr>
        <w:t xml:space="preserve"> HUD has </w:t>
      </w:r>
      <w:r w:rsidR="006D1AAD" w:rsidRPr="00D0646A">
        <w:rPr>
          <w:rFonts w:cs="Times New Roman"/>
          <w:szCs w:val="24"/>
        </w:rPr>
        <w:t xml:space="preserve">received </w:t>
      </w:r>
      <w:r w:rsidRPr="00D0646A">
        <w:rPr>
          <w:rFonts w:cs="Times New Roman"/>
          <w:szCs w:val="24"/>
        </w:rPr>
        <w:t>their Code of Conduct</w:t>
      </w:r>
      <w:r w:rsidR="00946493">
        <w:rPr>
          <w:rFonts w:cs="Times New Roman"/>
          <w:szCs w:val="24"/>
        </w:rPr>
        <w:t>.</w:t>
      </w:r>
    </w:p>
    <w:p w14:paraId="4B3CC604" w14:textId="312C3D69" w:rsidR="00E0334F" w:rsidRPr="00642F05" w:rsidRDefault="00E0334F" w:rsidP="00B143DC">
      <w:pPr>
        <w:autoSpaceDE w:val="0"/>
        <w:autoSpaceDN w:val="0"/>
        <w:adjustRightInd w:val="0"/>
        <w:ind w:left="360"/>
        <w:rPr>
          <w:rFonts w:eastAsiaTheme="minorHAnsi" w:cs="Times New Roman"/>
          <w:szCs w:val="24"/>
        </w:rPr>
      </w:pPr>
      <w:r w:rsidRPr="00642F05">
        <w:rPr>
          <w:rFonts w:eastAsiaTheme="minorHAnsi" w:cs="Times New Roman"/>
          <w:szCs w:val="24"/>
        </w:rPr>
        <w:t xml:space="preserve">HUD does not collect or review state codes of conduct for compliance with 2 CFR 200.318(c). Instead, each state must follow the same policies and procedures for procurements under Federal awards that the state uses for procurements from its non-Federal funds, as provided in 2 CFR 200.317. </w:t>
      </w:r>
    </w:p>
    <w:p w14:paraId="7585761F" w14:textId="643A230D" w:rsidR="00E0334F" w:rsidRPr="00642F05" w:rsidRDefault="00E0334F" w:rsidP="00262BA1">
      <w:pPr>
        <w:pStyle w:val="Heading2"/>
        <w:numPr>
          <w:ilvl w:val="0"/>
          <w:numId w:val="42"/>
        </w:numPr>
      </w:pPr>
      <w:r w:rsidRPr="00642F05">
        <w:t>Other Conflicts of Interest</w:t>
      </w:r>
      <w:r w:rsidR="00B143DC">
        <w:t>.</w:t>
      </w:r>
      <w:r w:rsidRPr="00642F05">
        <w:t xml:space="preserve"> </w:t>
      </w:r>
    </w:p>
    <w:p w14:paraId="1F7AD270" w14:textId="5B3E0528" w:rsidR="00E0334F" w:rsidRPr="00642F05" w:rsidRDefault="00353F20" w:rsidP="00B143DC">
      <w:pPr>
        <w:autoSpaceDE w:val="0"/>
        <w:autoSpaceDN w:val="0"/>
        <w:adjustRightInd w:val="0"/>
        <w:ind w:left="360"/>
        <w:rPr>
          <w:rFonts w:eastAsiaTheme="minorHAnsi" w:cs="Times New Roman"/>
          <w:szCs w:val="24"/>
        </w:rPr>
      </w:pPr>
      <w:r w:rsidRPr="00642F05">
        <w:rPr>
          <w:rFonts w:eastAsiaTheme="minorHAnsi" w:cs="Times New Roman"/>
          <w:szCs w:val="24"/>
        </w:rPr>
        <w:t>A</w:t>
      </w:r>
      <w:r w:rsidR="00E0334F" w:rsidRPr="00642F05">
        <w:rPr>
          <w:rFonts w:eastAsiaTheme="minorHAnsi" w:cs="Times New Roman"/>
          <w:szCs w:val="24"/>
        </w:rPr>
        <w:t xml:space="preserve">ll recipients and subrecipients must comply with the </w:t>
      </w:r>
      <w:r w:rsidR="00766DE4" w:rsidRPr="00642F05">
        <w:rPr>
          <w:rFonts w:eastAsiaTheme="minorHAnsi" w:cs="Times New Roman"/>
          <w:szCs w:val="24"/>
        </w:rPr>
        <w:t>conflict-of-interest</w:t>
      </w:r>
      <w:r w:rsidR="00E0334F" w:rsidRPr="00642F05">
        <w:rPr>
          <w:rFonts w:eastAsiaTheme="minorHAnsi" w:cs="Times New Roman"/>
          <w:szCs w:val="24"/>
        </w:rPr>
        <w:t xml:space="preserve"> requirements in the applicable program regulations </w:t>
      </w:r>
      <w:r w:rsidR="004B56D9" w:rsidRPr="00642F05">
        <w:rPr>
          <w:rFonts w:eastAsiaTheme="minorHAnsi" w:cs="Times New Roman"/>
          <w:szCs w:val="24"/>
        </w:rPr>
        <w:t>and grant agreements</w:t>
      </w:r>
      <w:r w:rsidR="00E0334F" w:rsidRPr="00642F05">
        <w:rPr>
          <w:rFonts w:eastAsiaTheme="minorHAnsi" w:cs="Times New Roman"/>
          <w:szCs w:val="24"/>
        </w:rPr>
        <w:t>.</w:t>
      </w:r>
      <w:r w:rsidRPr="00642F05">
        <w:rPr>
          <w:rFonts w:eastAsiaTheme="minorHAnsi" w:cs="Times New Roman"/>
          <w:szCs w:val="24"/>
        </w:rPr>
        <w:t xml:space="preserve"> </w:t>
      </w:r>
      <w:r w:rsidR="00E0334F" w:rsidRPr="00642F05">
        <w:rPr>
          <w:rFonts w:eastAsiaTheme="minorHAnsi" w:cs="Times New Roman"/>
          <w:szCs w:val="24"/>
        </w:rPr>
        <w:t>If there are no program-specific regulations for the award, the following conflict</w:t>
      </w:r>
      <w:r w:rsidR="00766DE4" w:rsidRPr="00642F05">
        <w:rPr>
          <w:rFonts w:eastAsiaTheme="minorHAnsi" w:cs="Times New Roman"/>
          <w:szCs w:val="24"/>
        </w:rPr>
        <w:t>-</w:t>
      </w:r>
      <w:r w:rsidR="00E0334F" w:rsidRPr="00642F05">
        <w:rPr>
          <w:rFonts w:eastAsiaTheme="minorHAnsi" w:cs="Times New Roman"/>
          <w:szCs w:val="24"/>
        </w:rPr>
        <w:t>of</w:t>
      </w:r>
      <w:r w:rsidR="00766DE4" w:rsidRPr="00642F05">
        <w:rPr>
          <w:rFonts w:eastAsiaTheme="minorHAnsi" w:cs="Times New Roman"/>
          <w:szCs w:val="24"/>
        </w:rPr>
        <w:t>-</w:t>
      </w:r>
      <w:r w:rsidR="00E0334F" w:rsidRPr="00642F05">
        <w:rPr>
          <w:rFonts w:eastAsiaTheme="minorHAnsi" w:cs="Times New Roman"/>
          <w:szCs w:val="24"/>
        </w:rPr>
        <w:t xml:space="preserve">interest requirements apply:  </w:t>
      </w:r>
    </w:p>
    <w:p w14:paraId="01DD374B" w14:textId="3EDDA9BA" w:rsidR="007B7C07" w:rsidRPr="00642F05" w:rsidRDefault="007B7C07" w:rsidP="00B143DC">
      <w:pPr>
        <w:autoSpaceDE w:val="0"/>
        <w:autoSpaceDN w:val="0"/>
        <w:adjustRightInd w:val="0"/>
        <w:spacing w:after="28"/>
        <w:ind w:left="360"/>
        <w:rPr>
          <w:rFonts w:eastAsiaTheme="minorHAnsi" w:cs="Times New Roman"/>
          <w:szCs w:val="24"/>
        </w:rPr>
      </w:pPr>
      <w:r w:rsidRPr="00642F05">
        <w:rPr>
          <w:rFonts w:cs="Times New Roman"/>
          <w:szCs w:val="24"/>
        </w:rPr>
        <w:t xml:space="preserve">i. </w:t>
      </w:r>
      <w:r w:rsidRPr="00642F05">
        <w:rPr>
          <w:rFonts w:cs="Times New Roman"/>
          <w:i/>
          <w:szCs w:val="24"/>
        </w:rPr>
        <w:t>Conflicts Subject to Procurement Regulations</w:t>
      </w:r>
      <w:r w:rsidRPr="00642F05">
        <w:rPr>
          <w:rFonts w:cs="Times New Roman"/>
          <w:szCs w:val="24"/>
        </w:rPr>
        <w:t>. In the procurement of property or services by recipients and subrecipients, the conflict</w:t>
      </w:r>
      <w:r w:rsidR="00992ACB" w:rsidRPr="00642F05">
        <w:rPr>
          <w:rFonts w:cs="Times New Roman"/>
          <w:szCs w:val="24"/>
        </w:rPr>
        <w:t>-</w:t>
      </w:r>
      <w:r w:rsidRPr="00642F05">
        <w:rPr>
          <w:rFonts w:cs="Times New Roman"/>
          <w:szCs w:val="24"/>
        </w:rPr>
        <w:t>of</w:t>
      </w:r>
      <w:r w:rsidR="00EC5C45" w:rsidRPr="00642F05">
        <w:rPr>
          <w:rFonts w:cs="Times New Roman"/>
          <w:szCs w:val="24"/>
        </w:rPr>
        <w:t>-</w:t>
      </w:r>
      <w:r w:rsidRPr="00642F05">
        <w:rPr>
          <w:rFonts w:cs="Times New Roman"/>
          <w:szCs w:val="24"/>
        </w:rPr>
        <w:t xml:space="preserve">interest rules in 2 CFR 200.317 and </w:t>
      </w:r>
      <w:r w:rsidR="005203B6" w:rsidRPr="00642F05">
        <w:rPr>
          <w:rFonts w:cs="Times New Roman"/>
          <w:szCs w:val="24"/>
        </w:rPr>
        <w:t xml:space="preserve">2 CFR </w:t>
      </w:r>
      <w:r w:rsidRPr="00642F05">
        <w:rPr>
          <w:rFonts w:cs="Times New Roman"/>
          <w:szCs w:val="24"/>
        </w:rPr>
        <w:t xml:space="preserve">200.318(c) shall apply.  In all cases not governed by 2 CFR 200.317 and 2 CFR 200.318(c), </w:t>
      </w:r>
      <w:r w:rsidR="00A06385" w:rsidRPr="00642F05">
        <w:rPr>
          <w:rFonts w:cs="Times New Roman"/>
          <w:szCs w:val="24"/>
        </w:rPr>
        <w:t xml:space="preserve">recipients and subrecipients must follow the requirements contained in </w:t>
      </w:r>
      <w:r w:rsidR="005F72B3" w:rsidRPr="00642F05">
        <w:rPr>
          <w:rFonts w:cs="Times New Roman"/>
          <w:szCs w:val="24"/>
        </w:rPr>
        <w:t xml:space="preserve">paragraphs </w:t>
      </w:r>
      <w:r w:rsidR="00A06385" w:rsidRPr="00642F05">
        <w:rPr>
          <w:rFonts w:cs="Times New Roman"/>
          <w:szCs w:val="24"/>
        </w:rPr>
        <w:t>ii</w:t>
      </w:r>
      <w:r w:rsidR="003405E1" w:rsidRPr="00642F05">
        <w:rPr>
          <w:rFonts w:cs="Times New Roman"/>
          <w:szCs w:val="24"/>
        </w:rPr>
        <w:t>-v below.</w:t>
      </w:r>
    </w:p>
    <w:p w14:paraId="176B35E6" w14:textId="583E6526" w:rsidR="00C342A0" w:rsidRPr="00642F05" w:rsidRDefault="00C342A0" w:rsidP="00B143DC">
      <w:pPr>
        <w:autoSpaceDE w:val="0"/>
        <w:autoSpaceDN w:val="0"/>
        <w:adjustRightInd w:val="0"/>
        <w:spacing w:after="28"/>
        <w:ind w:left="360"/>
        <w:rPr>
          <w:rFonts w:cs="Times New Roman"/>
          <w:szCs w:val="24"/>
        </w:rPr>
      </w:pPr>
    </w:p>
    <w:p w14:paraId="45E7CA82" w14:textId="4088ECA6" w:rsidR="00E0334F" w:rsidRPr="00642F05" w:rsidRDefault="00BB7526" w:rsidP="00B143DC">
      <w:pPr>
        <w:autoSpaceDE w:val="0"/>
        <w:autoSpaceDN w:val="0"/>
        <w:adjustRightInd w:val="0"/>
        <w:spacing w:after="28"/>
        <w:ind w:left="360"/>
        <w:rPr>
          <w:rFonts w:eastAsiaTheme="minorHAnsi" w:cs="Times New Roman"/>
          <w:szCs w:val="24"/>
        </w:rPr>
      </w:pPr>
      <w:r w:rsidRPr="00642F05">
        <w:rPr>
          <w:rFonts w:eastAsiaTheme="minorHAnsi" w:cs="Times New Roman"/>
          <w:szCs w:val="24"/>
        </w:rPr>
        <w:t>ii</w:t>
      </w:r>
      <w:r w:rsidR="00E0334F" w:rsidRPr="00642F05">
        <w:rPr>
          <w:rFonts w:eastAsiaTheme="minorHAnsi" w:cs="Times New Roman"/>
          <w:szCs w:val="24"/>
        </w:rPr>
        <w:t xml:space="preserve">. </w:t>
      </w:r>
      <w:r w:rsidR="00E0334F" w:rsidRPr="00642F05">
        <w:rPr>
          <w:rFonts w:eastAsiaTheme="minorHAnsi" w:cs="Times New Roman"/>
          <w:i/>
          <w:iCs/>
          <w:szCs w:val="24"/>
        </w:rPr>
        <w:t>General prohibition</w:t>
      </w:r>
      <w:r w:rsidR="00E0334F" w:rsidRPr="00642F05">
        <w:rPr>
          <w:rFonts w:eastAsiaTheme="minorHAnsi" w:cs="Times New Roman"/>
          <w:szCs w:val="24"/>
        </w:rPr>
        <w:t xml:space="preserve">. </w:t>
      </w:r>
      <w:r w:rsidR="0085778C" w:rsidRPr="00642F05">
        <w:rPr>
          <w:rFonts w:eastAsiaTheme="minorHAnsi" w:cs="Times New Roman"/>
          <w:szCs w:val="24"/>
        </w:rPr>
        <w:t xml:space="preserve">No person who is an employee, agent, consultant, officer, or elected or appointed official of the recipient or subrecipient </w:t>
      </w:r>
      <w:r w:rsidR="00E0334F" w:rsidRPr="00642F05">
        <w:rPr>
          <w:rFonts w:eastAsiaTheme="minorHAnsi" w:cs="Times New Roman"/>
          <w:szCs w:val="24"/>
        </w:rPr>
        <w:t>and who exercises or has exercised any functions or responsibilities with respect to assisted activities, or who is in a position to participate in a decision making process or gain inside information with regard to such activities, may obtain a financial interest or benefit from the activity, or have a</w:t>
      </w:r>
      <w:r w:rsidR="00D4377F" w:rsidRPr="00642F05">
        <w:rPr>
          <w:rFonts w:eastAsiaTheme="minorHAnsi" w:cs="Times New Roman"/>
          <w:szCs w:val="24"/>
        </w:rPr>
        <w:t xml:space="preserve"> financial</w:t>
      </w:r>
      <w:r w:rsidR="00E0334F" w:rsidRPr="00642F05">
        <w:rPr>
          <w:rFonts w:eastAsiaTheme="minorHAnsi" w:cs="Times New Roman"/>
          <w:szCs w:val="24"/>
        </w:rPr>
        <w:t xml:space="preserve"> interest in any contract, subcontract, or agreement with respect thereto, or the proceeds thereunder, either for himself or herself or for those with whom he or she has immediate family or business ties, during his or her tenure or for one year thereafter. Immediate family ties include (whether by blood, marriage or adoption) the spouse, parent (including a stepparent), child (including a stepchild), </w:t>
      </w:r>
      <w:r w:rsidR="00B21029">
        <w:rPr>
          <w:rFonts w:eastAsiaTheme="minorHAnsi" w:cs="Times New Roman"/>
          <w:szCs w:val="24"/>
        </w:rPr>
        <w:t>sibling</w:t>
      </w:r>
      <w:r w:rsidR="00E0334F" w:rsidRPr="00642F05">
        <w:rPr>
          <w:rFonts w:eastAsiaTheme="minorHAnsi" w:cs="Times New Roman"/>
          <w:szCs w:val="24"/>
        </w:rPr>
        <w:t>(including a step</w:t>
      </w:r>
      <w:r w:rsidR="00A413EE">
        <w:rPr>
          <w:rFonts w:eastAsiaTheme="minorHAnsi" w:cs="Times New Roman"/>
          <w:szCs w:val="24"/>
        </w:rPr>
        <w:t>sibling</w:t>
      </w:r>
      <w:r w:rsidR="00E0334F" w:rsidRPr="00642F05">
        <w:rPr>
          <w:rFonts w:eastAsiaTheme="minorHAnsi" w:cs="Times New Roman"/>
          <w:szCs w:val="24"/>
        </w:rPr>
        <w:t xml:space="preserve">), grandparent, grandchild, and in-laws of a covered person. </w:t>
      </w:r>
      <w:r w:rsidR="00F73BBE">
        <w:rPr>
          <w:rFonts w:eastAsiaTheme="minorHAnsi" w:cs="Times New Roman"/>
          <w:szCs w:val="24"/>
        </w:rPr>
        <w:t xml:space="preserve"> </w:t>
      </w:r>
    </w:p>
    <w:p w14:paraId="00040F2A" w14:textId="77777777" w:rsidR="006E3CE8" w:rsidRPr="00642F05" w:rsidRDefault="006E3CE8" w:rsidP="00B143DC">
      <w:pPr>
        <w:autoSpaceDE w:val="0"/>
        <w:autoSpaceDN w:val="0"/>
        <w:adjustRightInd w:val="0"/>
        <w:spacing w:after="28"/>
        <w:ind w:left="360"/>
        <w:rPr>
          <w:rFonts w:eastAsiaTheme="minorHAnsi" w:cs="Times New Roman"/>
          <w:szCs w:val="24"/>
        </w:rPr>
      </w:pPr>
    </w:p>
    <w:p w14:paraId="6850C36D" w14:textId="4384786A" w:rsidR="00E0334F" w:rsidRPr="00642F05" w:rsidRDefault="00E0334F" w:rsidP="00B143DC">
      <w:pPr>
        <w:autoSpaceDE w:val="0"/>
        <w:autoSpaceDN w:val="0"/>
        <w:adjustRightInd w:val="0"/>
        <w:spacing w:after="28"/>
        <w:ind w:left="360"/>
        <w:rPr>
          <w:rFonts w:cs="Times New Roman"/>
          <w:szCs w:val="24"/>
        </w:rPr>
      </w:pPr>
      <w:r w:rsidRPr="00642F05">
        <w:rPr>
          <w:rFonts w:cs="Times New Roman"/>
          <w:szCs w:val="24"/>
        </w:rPr>
        <w:t>ii</w:t>
      </w:r>
      <w:r w:rsidR="00BB7526" w:rsidRPr="00642F05">
        <w:rPr>
          <w:rFonts w:cs="Times New Roman"/>
          <w:szCs w:val="24"/>
        </w:rPr>
        <w:t>i</w:t>
      </w:r>
      <w:r w:rsidRPr="00642F05">
        <w:rPr>
          <w:rFonts w:cs="Times New Roman"/>
          <w:szCs w:val="24"/>
        </w:rPr>
        <w:t xml:space="preserve">. </w:t>
      </w:r>
      <w:r w:rsidRPr="00642F05">
        <w:rPr>
          <w:rFonts w:cs="Times New Roman"/>
          <w:i/>
          <w:szCs w:val="24"/>
        </w:rPr>
        <w:t>Exceptions</w:t>
      </w:r>
      <w:r w:rsidRPr="00642F05">
        <w:rPr>
          <w:rFonts w:cs="Times New Roman"/>
          <w:szCs w:val="24"/>
        </w:rPr>
        <w:t>. HUD may grant an exception to the general prohibition in paragraph (</w:t>
      </w:r>
      <w:r w:rsidR="00493713" w:rsidRPr="00642F05">
        <w:rPr>
          <w:rFonts w:cs="Times New Roman"/>
          <w:szCs w:val="24"/>
        </w:rPr>
        <w:t>i</w:t>
      </w:r>
      <w:r w:rsidRPr="00642F05">
        <w:rPr>
          <w:rFonts w:cs="Times New Roman"/>
          <w:szCs w:val="24"/>
        </w:rPr>
        <w:t>i) upon the recipient’s written request and satisfaction of the threshold requirements in paragraph (i</w:t>
      </w:r>
      <w:r w:rsidR="00493713" w:rsidRPr="00642F05">
        <w:rPr>
          <w:rFonts w:cs="Times New Roman"/>
          <w:szCs w:val="24"/>
        </w:rPr>
        <w:t>v</w:t>
      </w:r>
      <w:r w:rsidRPr="00642F05">
        <w:rPr>
          <w:rFonts w:cs="Times New Roman"/>
          <w:szCs w:val="24"/>
        </w:rPr>
        <w:t xml:space="preserve">), if HUD determines the exception will further the Federal purpose of the award and the effective and efficient administration of the recipient’s program or project, taking into account the cumulative effects of the factors in paragraph (v). </w:t>
      </w:r>
    </w:p>
    <w:p w14:paraId="76C0E290" w14:textId="77777777" w:rsidR="006E3CE8" w:rsidRPr="00642F05" w:rsidRDefault="006E3CE8" w:rsidP="00B143DC">
      <w:pPr>
        <w:autoSpaceDE w:val="0"/>
        <w:autoSpaceDN w:val="0"/>
        <w:adjustRightInd w:val="0"/>
        <w:spacing w:after="28"/>
        <w:ind w:left="360"/>
        <w:rPr>
          <w:rFonts w:eastAsiaTheme="minorHAnsi" w:cs="Times New Roman"/>
          <w:szCs w:val="24"/>
        </w:rPr>
      </w:pPr>
    </w:p>
    <w:p w14:paraId="74352E56" w14:textId="0E213920" w:rsidR="00894D28" w:rsidRPr="00642F05" w:rsidRDefault="00E0334F" w:rsidP="00B143DC">
      <w:pPr>
        <w:autoSpaceDE w:val="0"/>
        <w:autoSpaceDN w:val="0"/>
        <w:adjustRightInd w:val="0"/>
        <w:spacing w:after="28"/>
        <w:ind w:left="360"/>
        <w:rPr>
          <w:rFonts w:eastAsiaTheme="minorHAnsi" w:cs="Times New Roman"/>
          <w:szCs w:val="24"/>
        </w:rPr>
      </w:pPr>
      <w:r w:rsidRPr="00642F05">
        <w:rPr>
          <w:rFonts w:eastAsiaTheme="minorHAnsi" w:cs="Times New Roman"/>
          <w:szCs w:val="24"/>
        </w:rPr>
        <w:t>i</w:t>
      </w:r>
      <w:r w:rsidR="00BB7526" w:rsidRPr="00642F05">
        <w:rPr>
          <w:rFonts w:eastAsiaTheme="minorHAnsi" w:cs="Times New Roman"/>
          <w:szCs w:val="24"/>
        </w:rPr>
        <w:t>v</w:t>
      </w:r>
      <w:r w:rsidRPr="00642F05">
        <w:rPr>
          <w:rFonts w:eastAsiaTheme="minorHAnsi" w:cs="Times New Roman"/>
          <w:szCs w:val="24"/>
        </w:rPr>
        <w:t xml:space="preserve">. </w:t>
      </w:r>
      <w:r w:rsidRPr="00642F05">
        <w:rPr>
          <w:rFonts w:eastAsiaTheme="minorHAnsi" w:cs="Times New Roman"/>
          <w:i/>
          <w:iCs/>
          <w:szCs w:val="24"/>
        </w:rPr>
        <w:t>Threshold requirements for exceptions</w:t>
      </w:r>
      <w:r w:rsidRPr="00642F05">
        <w:rPr>
          <w:rFonts w:eastAsiaTheme="minorHAnsi" w:cs="Times New Roman"/>
          <w:szCs w:val="24"/>
        </w:rPr>
        <w:t>. HUD will consider an exception only after the recipient has provided the following documentation:</w:t>
      </w:r>
    </w:p>
    <w:p w14:paraId="7D662381" w14:textId="4F8D20EE" w:rsidR="00E0334F" w:rsidRPr="00642F05" w:rsidRDefault="00E0334F" w:rsidP="00B143DC">
      <w:pPr>
        <w:autoSpaceDE w:val="0"/>
        <w:autoSpaceDN w:val="0"/>
        <w:adjustRightInd w:val="0"/>
        <w:spacing w:after="28"/>
        <w:ind w:left="360"/>
        <w:rPr>
          <w:rFonts w:eastAsiaTheme="minorHAnsi" w:cs="Times New Roman"/>
          <w:szCs w:val="24"/>
        </w:rPr>
      </w:pPr>
      <w:r w:rsidRPr="00642F05">
        <w:rPr>
          <w:rFonts w:eastAsiaTheme="minorHAnsi" w:cs="Times New Roman"/>
          <w:szCs w:val="24"/>
        </w:rPr>
        <w:t xml:space="preserve"> a. A disclosure of the nature of the conflict, accompanied by an assurance that there has been public disclosure of the conflict and a description of how the public disclosure was made; and </w:t>
      </w:r>
    </w:p>
    <w:p w14:paraId="526D162E" w14:textId="647CAAA5" w:rsidR="00E0334F" w:rsidRPr="00642F05" w:rsidRDefault="00E0334F" w:rsidP="00B143DC">
      <w:pPr>
        <w:autoSpaceDE w:val="0"/>
        <w:autoSpaceDN w:val="0"/>
        <w:adjustRightInd w:val="0"/>
        <w:ind w:left="360"/>
        <w:rPr>
          <w:rFonts w:eastAsiaTheme="minorHAnsi" w:cs="Times New Roman"/>
          <w:szCs w:val="24"/>
        </w:rPr>
      </w:pPr>
      <w:r w:rsidRPr="00642F05">
        <w:rPr>
          <w:rFonts w:eastAsiaTheme="minorHAnsi" w:cs="Times New Roman"/>
          <w:szCs w:val="24"/>
        </w:rPr>
        <w:t xml:space="preserve">b. An opinion of the recipient's attorney that the interest for which the exception is sought would not violate </w:t>
      </w:r>
      <w:r w:rsidR="00EE303E" w:rsidRPr="00642F05">
        <w:rPr>
          <w:rFonts w:eastAsiaTheme="minorHAnsi" w:cs="Times New Roman"/>
          <w:szCs w:val="24"/>
        </w:rPr>
        <w:t>s</w:t>
      </w:r>
      <w:r w:rsidRPr="00642F05">
        <w:rPr>
          <w:rFonts w:eastAsiaTheme="minorHAnsi" w:cs="Times New Roman"/>
          <w:szCs w:val="24"/>
        </w:rPr>
        <w:t>tate</w:t>
      </w:r>
      <w:r w:rsidR="00706983">
        <w:rPr>
          <w:rFonts w:eastAsiaTheme="minorHAnsi" w:cs="Times New Roman"/>
          <w:szCs w:val="24"/>
        </w:rPr>
        <w:t>,</w:t>
      </w:r>
      <w:r w:rsidRPr="00642F05">
        <w:rPr>
          <w:rFonts w:eastAsiaTheme="minorHAnsi" w:cs="Times New Roman"/>
          <w:szCs w:val="24"/>
        </w:rPr>
        <w:t xml:space="preserve"> local</w:t>
      </w:r>
      <w:r w:rsidR="00706983">
        <w:rPr>
          <w:rFonts w:eastAsiaTheme="minorHAnsi" w:cs="Times New Roman"/>
          <w:szCs w:val="24"/>
        </w:rPr>
        <w:t>, or tribal</w:t>
      </w:r>
      <w:r w:rsidRPr="00642F05">
        <w:rPr>
          <w:rFonts w:eastAsiaTheme="minorHAnsi" w:cs="Times New Roman"/>
          <w:szCs w:val="24"/>
        </w:rPr>
        <w:t xml:space="preserve"> law. </w:t>
      </w:r>
    </w:p>
    <w:p w14:paraId="734032CB" w14:textId="3022D31A" w:rsidR="00E0334F" w:rsidRPr="00642F05" w:rsidRDefault="00E0334F" w:rsidP="00B143DC">
      <w:pPr>
        <w:autoSpaceDE w:val="0"/>
        <w:autoSpaceDN w:val="0"/>
        <w:adjustRightInd w:val="0"/>
        <w:ind w:left="360"/>
        <w:rPr>
          <w:rFonts w:eastAsiaTheme="minorHAnsi" w:cs="Times New Roman"/>
          <w:szCs w:val="24"/>
        </w:rPr>
      </w:pPr>
      <w:r w:rsidRPr="00642F05">
        <w:rPr>
          <w:rFonts w:eastAsiaTheme="minorHAnsi" w:cs="Times New Roman"/>
          <w:i/>
          <w:iCs/>
          <w:szCs w:val="24"/>
        </w:rPr>
        <w:t xml:space="preserve">v. Factors to be considered for exceptions. In determining whether to grant a requested exception after the recipient has satisfactorily met the threshold requirements in paragraph (iii), HUD will consider the cumulative effect of the following factors, where applicable: </w:t>
      </w:r>
    </w:p>
    <w:p w14:paraId="00E993DB" w14:textId="0CAD329C" w:rsidR="00E0334F" w:rsidRPr="00642F05" w:rsidRDefault="00E0334F" w:rsidP="00B143DC">
      <w:pPr>
        <w:autoSpaceDE w:val="0"/>
        <w:autoSpaceDN w:val="0"/>
        <w:adjustRightInd w:val="0"/>
        <w:ind w:left="360"/>
        <w:rPr>
          <w:rFonts w:eastAsiaTheme="minorHAnsi" w:cs="Times New Roman"/>
          <w:szCs w:val="24"/>
        </w:rPr>
      </w:pPr>
      <w:r w:rsidRPr="00642F05">
        <w:rPr>
          <w:rFonts w:eastAsiaTheme="minorHAnsi" w:cs="Times New Roman"/>
          <w:szCs w:val="24"/>
        </w:rPr>
        <w:t>a. Whether the exception would provide a significant cost benefit or an essential degree of expertise to the program or project that would otherwise not be available</w:t>
      </w:r>
      <w:r w:rsidR="00B90940" w:rsidRPr="00642F05">
        <w:rPr>
          <w:rFonts w:eastAsiaTheme="minorHAnsi" w:cs="Times New Roman"/>
          <w:szCs w:val="24"/>
        </w:rPr>
        <w:t>;</w:t>
      </w:r>
      <w:r w:rsidR="0003106C" w:rsidRPr="00642F05">
        <w:rPr>
          <w:rFonts w:eastAsiaTheme="minorHAnsi" w:cs="Times New Roman"/>
          <w:szCs w:val="24"/>
        </w:rPr>
        <w:t xml:space="preserve"> </w:t>
      </w:r>
    </w:p>
    <w:p w14:paraId="1BD9E0A6" w14:textId="47FC103D" w:rsidR="00E0334F" w:rsidRPr="00642F05" w:rsidRDefault="00E0334F" w:rsidP="00B143DC">
      <w:pPr>
        <w:autoSpaceDE w:val="0"/>
        <w:autoSpaceDN w:val="0"/>
        <w:adjustRightInd w:val="0"/>
        <w:ind w:left="360"/>
        <w:rPr>
          <w:rFonts w:eastAsiaTheme="minorHAnsi" w:cs="Times New Roman"/>
          <w:szCs w:val="24"/>
        </w:rPr>
      </w:pPr>
      <w:r w:rsidRPr="00642F05">
        <w:rPr>
          <w:rFonts w:eastAsiaTheme="minorHAnsi" w:cs="Times New Roman"/>
          <w:szCs w:val="24"/>
        </w:rPr>
        <w:t>b. Whether an opportunity was provided for open competitive bidding or negotiation</w:t>
      </w:r>
      <w:r w:rsidR="00EC5C45" w:rsidRPr="00642F05">
        <w:rPr>
          <w:rFonts w:eastAsiaTheme="minorHAnsi" w:cs="Times New Roman"/>
          <w:szCs w:val="24"/>
        </w:rPr>
        <w:t xml:space="preserve">; </w:t>
      </w:r>
    </w:p>
    <w:p w14:paraId="108BFA9A" w14:textId="77777777" w:rsidR="00E0334F" w:rsidRPr="00642F05" w:rsidRDefault="00E0334F" w:rsidP="00B143DC">
      <w:pPr>
        <w:autoSpaceDE w:val="0"/>
        <w:autoSpaceDN w:val="0"/>
        <w:adjustRightInd w:val="0"/>
        <w:ind w:left="360"/>
        <w:rPr>
          <w:rFonts w:eastAsiaTheme="minorHAnsi" w:cs="Times New Roman"/>
          <w:szCs w:val="24"/>
        </w:rPr>
      </w:pPr>
      <w:r w:rsidRPr="00642F05">
        <w:rPr>
          <w:rFonts w:eastAsiaTheme="minorHAnsi" w:cs="Times New Roman"/>
          <w:szCs w:val="24"/>
        </w:rPr>
        <w:t xml:space="preserve">c. Whether the person affected is a member of a group or class of low- or moderate-income persons intended to be the beneficiaries of the assisted activity, and the exception will permit such person to receive generally the same interests or benefits as are being made available or provided to the group or class; </w:t>
      </w:r>
    </w:p>
    <w:p w14:paraId="6DC341DB" w14:textId="2C07E24E" w:rsidR="00E72BFB" w:rsidRPr="00642F05" w:rsidRDefault="00E0334F" w:rsidP="00B143DC">
      <w:pPr>
        <w:autoSpaceDE w:val="0"/>
        <w:autoSpaceDN w:val="0"/>
        <w:adjustRightInd w:val="0"/>
        <w:ind w:left="360"/>
        <w:rPr>
          <w:rFonts w:eastAsiaTheme="minorHAnsi" w:cs="Times New Roman"/>
          <w:szCs w:val="24"/>
        </w:rPr>
      </w:pPr>
      <w:r w:rsidRPr="00642F05">
        <w:rPr>
          <w:rFonts w:eastAsiaTheme="minorHAnsi" w:cs="Times New Roman"/>
          <w:szCs w:val="24"/>
        </w:rPr>
        <w:t>d. Whether the affected person has withdrawn from his or her functions or responsibilities, or the decision-making process with respect to the specific assisted activity in question</w:t>
      </w:r>
      <w:r w:rsidR="00EC5C45" w:rsidRPr="00642F05">
        <w:rPr>
          <w:rFonts w:eastAsiaTheme="minorHAnsi" w:cs="Times New Roman"/>
          <w:szCs w:val="24"/>
        </w:rPr>
        <w:t xml:space="preserve">;  </w:t>
      </w:r>
    </w:p>
    <w:p w14:paraId="188E3F24" w14:textId="43094C82" w:rsidR="00E0334F" w:rsidRPr="00642F05" w:rsidRDefault="00E0334F" w:rsidP="00B143DC">
      <w:pPr>
        <w:autoSpaceDE w:val="0"/>
        <w:autoSpaceDN w:val="0"/>
        <w:adjustRightInd w:val="0"/>
        <w:ind w:left="360"/>
        <w:rPr>
          <w:rFonts w:eastAsiaTheme="minorHAnsi" w:cs="Times New Roman"/>
          <w:szCs w:val="24"/>
        </w:rPr>
      </w:pPr>
      <w:r w:rsidRPr="00642F05">
        <w:rPr>
          <w:rFonts w:eastAsiaTheme="minorHAnsi" w:cs="Times New Roman"/>
          <w:szCs w:val="24"/>
        </w:rPr>
        <w:t>e. Whether the interest or benefit was present before the affected person was in a position as described in paragraph (</w:t>
      </w:r>
      <w:r w:rsidR="00493713" w:rsidRPr="00642F05">
        <w:rPr>
          <w:rFonts w:eastAsiaTheme="minorHAnsi" w:cs="Times New Roman"/>
          <w:szCs w:val="24"/>
        </w:rPr>
        <w:t>i</w:t>
      </w:r>
      <w:r w:rsidRPr="00642F05">
        <w:rPr>
          <w:rFonts w:eastAsiaTheme="minorHAnsi" w:cs="Times New Roman"/>
          <w:szCs w:val="24"/>
        </w:rPr>
        <w:t xml:space="preserve">i); </w:t>
      </w:r>
    </w:p>
    <w:p w14:paraId="241902C0" w14:textId="77777777" w:rsidR="00E0334F" w:rsidRPr="00642F05" w:rsidRDefault="00E0334F" w:rsidP="00B143DC">
      <w:pPr>
        <w:autoSpaceDE w:val="0"/>
        <w:autoSpaceDN w:val="0"/>
        <w:adjustRightInd w:val="0"/>
        <w:ind w:left="360"/>
        <w:rPr>
          <w:rFonts w:eastAsiaTheme="minorHAnsi" w:cs="Times New Roman"/>
          <w:szCs w:val="24"/>
        </w:rPr>
      </w:pPr>
      <w:r w:rsidRPr="00642F05">
        <w:rPr>
          <w:rFonts w:eastAsiaTheme="minorHAnsi" w:cs="Times New Roman"/>
          <w:szCs w:val="24"/>
        </w:rPr>
        <w:t xml:space="preserve">f. Whether undue hardship will result either to the recipient or the person affected when weighed against the public interest served by avoiding the prohibited conflict; and </w:t>
      </w:r>
    </w:p>
    <w:p w14:paraId="6E8B3BD7" w14:textId="6650367D" w:rsidR="00E0334F" w:rsidRDefault="00E0334F" w:rsidP="00B143DC">
      <w:pPr>
        <w:autoSpaceDE w:val="0"/>
        <w:autoSpaceDN w:val="0"/>
        <w:adjustRightInd w:val="0"/>
        <w:ind w:left="360"/>
        <w:rPr>
          <w:rFonts w:eastAsiaTheme="minorHAnsi" w:cs="Times New Roman"/>
          <w:szCs w:val="24"/>
        </w:rPr>
      </w:pPr>
      <w:r w:rsidRPr="00642F05">
        <w:rPr>
          <w:rFonts w:eastAsiaTheme="minorHAnsi" w:cs="Times New Roman"/>
          <w:szCs w:val="24"/>
        </w:rPr>
        <w:t xml:space="preserve">g. Any other relevant considerations. </w:t>
      </w:r>
    </w:p>
    <w:p w14:paraId="4D4156C2" w14:textId="77777777" w:rsidR="00053311" w:rsidRDefault="00CC56D0" w:rsidP="00053311">
      <w:pPr>
        <w:autoSpaceDE w:val="0"/>
        <w:autoSpaceDN w:val="0"/>
        <w:adjustRightInd w:val="0"/>
        <w:spacing w:after="28"/>
        <w:ind w:left="360"/>
        <w:rPr>
          <w:rFonts w:eastAsiaTheme="minorHAnsi" w:cs="Times New Roman"/>
          <w:szCs w:val="24"/>
        </w:rPr>
      </w:pPr>
      <w:r w:rsidRPr="00822A64">
        <w:rPr>
          <w:rFonts w:eastAsiaTheme="minorHAnsi" w:cs="Times New Roman"/>
          <w:szCs w:val="24"/>
        </w:rPr>
        <w:t>vi. For purposes of the above requirements, once procured, contractors are considered agents of the recipient or subrecipient and are subject to the above conflict of interest rules in addition to the those for procurements at 2 CFR 200.317 or 2 CFR 200.318, as applicable</w:t>
      </w:r>
      <w:r w:rsidR="005E2693" w:rsidRPr="00822A64">
        <w:rPr>
          <w:rFonts w:eastAsiaTheme="minorHAnsi" w:cs="Times New Roman"/>
          <w:szCs w:val="24"/>
        </w:rPr>
        <w:t>.</w:t>
      </w:r>
    </w:p>
    <w:p w14:paraId="41BE903E" w14:textId="77777777" w:rsidR="00053311" w:rsidRDefault="00053311" w:rsidP="00053311">
      <w:pPr>
        <w:autoSpaceDE w:val="0"/>
        <w:autoSpaceDN w:val="0"/>
        <w:adjustRightInd w:val="0"/>
        <w:spacing w:after="28"/>
        <w:ind w:left="360"/>
        <w:rPr>
          <w:rFonts w:eastAsiaTheme="minorHAnsi" w:cs="Times New Roman"/>
          <w:szCs w:val="24"/>
        </w:rPr>
      </w:pPr>
    </w:p>
    <w:p w14:paraId="50A962BD" w14:textId="5EAA2E49" w:rsidR="004F6F5C" w:rsidRDefault="00E0334F" w:rsidP="00053311">
      <w:pPr>
        <w:autoSpaceDE w:val="0"/>
        <w:autoSpaceDN w:val="0"/>
        <w:adjustRightInd w:val="0"/>
        <w:spacing w:after="28"/>
        <w:ind w:left="360"/>
        <w:rPr>
          <w:rFonts w:eastAsiaTheme="minorHAnsi" w:cs="Times New Roman"/>
          <w:szCs w:val="24"/>
        </w:rPr>
      </w:pPr>
      <w:r w:rsidRPr="00642F05">
        <w:rPr>
          <w:rFonts w:eastAsiaTheme="minorHAnsi" w:cs="Times New Roman"/>
          <w:szCs w:val="24"/>
        </w:rPr>
        <w:t>Recipients must disclose in writing any potential conflict of interest to HUD</w:t>
      </w:r>
      <w:bookmarkEnd w:id="0"/>
      <w:r w:rsidR="00936868" w:rsidRPr="00642F05">
        <w:rPr>
          <w:rFonts w:eastAsiaTheme="minorHAnsi" w:cs="Times New Roman"/>
          <w:szCs w:val="24"/>
        </w:rPr>
        <w:t>.</w:t>
      </w:r>
      <w:bookmarkEnd w:id="1"/>
    </w:p>
    <w:p w14:paraId="18C2FA07" w14:textId="77777777" w:rsidR="00053311" w:rsidRPr="00053311" w:rsidRDefault="00053311" w:rsidP="00053311">
      <w:pPr>
        <w:autoSpaceDE w:val="0"/>
        <w:autoSpaceDN w:val="0"/>
        <w:adjustRightInd w:val="0"/>
        <w:spacing w:after="28"/>
        <w:ind w:left="360"/>
        <w:rPr>
          <w:rFonts w:eastAsiaTheme="minorHAnsi" w:cs="Times New Roman"/>
          <w:szCs w:val="24"/>
        </w:rPr>
      </w:pPr>
    </w:p>
    <w:p w14:paraId="6358C2E2" w14:textId="588B0D17" w:rsidR="00DD2258" w:rsidRPr="00BE669E" w:rsidRDefault="00DD2258" w:rsidP="00DD2258">
      <w:pPr>
        <w:pStyle w:val="Heading1"/>
        <w:ind w:left="360"/>
      </w:pPr>
      <w:r w:rsidRPr="00BE669E">
        <w:t>Bu</w:t>
      </w:r>
      <w:r w:rsidR="007917AF">
        <w:t>ild</w:t>
      </w:r>
      <w:r w:rsidRPr="00BE669E">
        <w:t xml:space="preserve"> America</w:t>
      </w:r>
      <w:r w:rsidR="007917AF">
        <w:t>,</w:t>
      </w:r>
      <w:r w:rsidRPr="00BE669E">
        <w:t xml:space="preserve"> Bu</w:t>
      </w:r>
      <w:r w:rsidR="007917AF">
        <w:t>y</w:t>
      </w:r>
      <w:r w:rsidRPr="00BE669E">
        <w:t xml:space="preserve"> America</w:t>
      </w:r>
      <w:r w:rsidR="004B1E73">
        <w:t xml:space="preserve"> (“BABA”)</w:t>
      </w:r>
      <w:r>
        <w:t>.</w:t>
      </w:r>
      <w:r w:rsidDel="003B66AE">
        <w:t xml:space="preserve"> </w:t>
      </w:r>
    </w:p>
    <w:p w14:paraId="569AE9F8" w14:textId="50173F41" w:rsidR="00DD2258" w:rsidRDefault="00AC4135" w:rsidP="00DD2258">
      <w:pPr>
        <w:spacing w:after="0"/>
        <w:ind w:left="360"/>
        <w:rPr>
          <w:rFonts w:cs="Times New Roman"/>
        </w:rPr>
      </w:pPr>
      <w:r w:rsidRPr="00AC4135">
        <w:rPr>
          <w:rFonts w:cs="Times New Roman"/>
        </w:rPr>
        <w:t xml:space="preserve">The </w:t>
      </w:r>
      <w:r>
        <w:rPr>
          <w:rFonts w:cs="Times New Roman"/>
        </w:rPr>
        <w:t>Recipient</w:t>
      </w:r>
      <w:r w:rsidRPr="00AC4135">
        <w:rPr>
          <w:rFonts w:cs="Times New Roman"/>
        </w:rPr>
        <w:t xml:space="preserve"> must comply with the requirements of the Build America, Buy America (BABA) Act, 41 USC 8301 note, and all applicable rules and notices, as may be amended, if applicable to the Grantee’s infrastructure project. Pursuant to HUD’s Notice, “Public Interest Phased Implementation Waiver for FY 2022 and 2023 of Build America, Buy America Provisions as </w:t>
      </w:r>
      <w:r w:rsidRPr="00AC4135">
        <w:rPr>
          <w:rFonts w:cs="Times New Roman"/>
        </w:rPr>
        <w:lastRenderedPageBreak/>
        <w:t>Applied to Recipients of HUD Federal Financial Assistance” (88 FR 17001), any funds obligated by HUD on or after the applicable listed effective dates, are subject to BABA requirements, unless excepted by a waiver. For more information and a list of waivers issued by HUD, please see https://www.hud.gov/program_offices/general_counsel/BABA.</w:t>
      </w:r>
      <w:r w:rsidR="00DD2258" w:rsidRPr="00A0638A">
        <w:rPr>
          <w:rFonts w:cs="Times New Roman"/>
        </w:rPr>
        <w:t>.</w:t>
      </w:r>
    </w:p>
    <w:p w14:paraId="219A5607" w14:textId="77777777" w:rsidR="00DD2258" w:rsidRPr="004C7E73" w:rsidRDefault="00DD2258" w:rsidP="004C7E73">
      <w:pPr>
        <w:pStyle w:val="Heading1"/>
        <w:numPr>
          <w:ilvl w:val="0"/>
          <w:numId w:val="0"/>
        </w:numPr>
        <w:ind w:left="360"/>
        <w:rPr>
          <w:b w:val="0"/>
        </w:rPr>
      </w:pPr>
    </w:p>
    <w:p w14:paraId="484190A2" w14:textId="7EE8FB7C" w:rsidR="00796965" w:rsidRPr="00C87CF0" w:rsidRDefault="00796965" w:rsidP="00C87CF0">
      <w:pPr>
        <w:pStyle w:val="Heading1"/>
        <w:ind w:left="360"/>
        <w:rPr>
          <w:b w:val="0"/>
        </w:rPr>
      </w:pPr>
      <w:r w:rsidRPr="00C87CF0">
        <w:t>System for Award Management and Universal Identifier Requirements</w:t>
      </w:r>
      <w:r w:rsidR="00B143DC">
        <w:t>.</w:t>
      </w:r>
    </w:p>
    <w:p w14:paraId="76B16EDE" w14:textId="5EC94520" w:rsidR="00906612" w:rsidRPr="00642F05" w:rsidRDefault="00906612" w:rsidP="00906612">
      <w:pPr>
        <w:rPr>
          <w:rFonts w:cs="Times New Roman"/>
          <w:b/>
          <w:bCs/>
          <w:szCs w:val="24"/>
          <w:lang w:val="en"/>
        </w:rPr>
      </w:pPr>
      <w:r w:rsidRPr="00642F05">
        <w:rPr>
          <w:rFonts w:eastAsiaTheme="minorHAnsi" w:cs="Times New Roman"/>
          <w:szCs w:val="24"/>
          <w:lang w:val="en"/>
        </w:rPr>
        <w:t>Unless you are exempted from th</w:t>
      </w:r>
      <w:r w:rsidR="00A02801">
        <w:rPr>
          <w:rFonts w:eastAsiaTheme="minorHAnsi" w:cs="Times New Roman"/>
          <w:szCs w:val="24"/>
          <w:lang w:val="en"/>
        </w:rPr>
        <w:t>e</w:t>
      </w:r>
      <w:r w:rsidRPr="00642F05">
        <w:rPr>
          <w:rFonts w:eastAsiaTheme="minorHAnsi" w:cs="Times New Roman"/>
          <w:szCs w:val="24"/>
          <w:lang w:val="en"/>
        </w:rPr>
        <w:t xml:space="preserve"> requirement</w:t>
      </w:r>
      <w:r w:rsidR="00A02801">
        <w:rPr>
          <w:rFonts w:eastAsiaTheme="minorHAnsi" w:cs="Times New Roman"/>
          <w:szCs w:val="24"/>
          <w:lang w:val="en"/>
        </w:rPr>
        <w:t>s</w:t>
      </w:r>
      <w:r w:rsidRPr="00642F05">
        <w:rPr>
          <w:rFonts w:eastAsiaTheme="minorHAnsi" w:cs="Times New Roman"/>
          <w:szCs w:val="24"/>
          <w:lang w:val="en"/>
        </w:rPr>
        <w:t xml:space="preserve"> under 2 CFR 25.110, </w:t>
      </w:r>
      <w:r w:rsidR="00032943">
        <w:rPr>
          <w:rFonts w:eastAsiaTheme="minorHAnsi" w:cs="Times New Roman"/>
          <w:szCs w:val="24"/>
          <w:lang w:val="en"/>
        </w:rPr>
        <w:t xml:space="preserve">the requirements at </w:t>
      </w:r>
      <w:hyperlink r:id="rId47" w:history="1">
        <w:r w:rsidRPr="00032943">
          <w:rPr>
            <w:rStyle w:val="Hyperlink"/>
            <w:rFonts w:eastAsiaTheme="minorHAnsi" w:cs="Times New Roman"/>
            <w:szCs w:val="24"/>
            <w:lang w:val="en"/>
          </w:rPr>
          <w:t>2 CFR part 25</w:t>
        </w:r>
      </w:hyperlink>
      <w:r>
        <w:rPr>
          <w:rFonts w:eastAsiaTheme="minorHAnsi" w:cs="Times New Roman"/>
          <w:szCs w:val="24"/>
          <w:lang w:val="en"/>
        </w:rPr>
        <w:t xml:space="preserve">, including </w:t>
      </w:r>
      <w:hyperlink r:id="rId48" w:history="1">
        <w:r w:rsidRPr="00032943">
          <w:rPr>
            <w:rStyle w:val="Hyperlink"/>
            <w:rFonts w:eastAsiaTheme="minorHAnsi" w:cs="Times New Roman"/>
            <w:szCs w:val="24"/>
            <w:lang w:val="en"/>
          </w:rPr>
          <w:t>Appendix A</w:t>
        </w:r>
      </w:hyperlink>
      <w:r>
        <w:rPr>
          <w:rFonts w:eastAsiaTheme="minorHAnsi" w:cs="Times New Roman"/>
          <w:szCs w:val="24"/>
          <w:lang w:val="en"/>
        </w:rPr>
        <w:t xml:space="preserve"> of the same part, are incorporated into the award terms and conditions, and </w:t>
      </w:r>
      <w:r w:rsidRPr="00642F05">
        <w:rPr>
          <w:rFonts w:eastAsiaTheme="minorHAnsi" w:cs="Times New Roman"/>
          <w:szCs w:val="24"/>
          <w:lang w:val="en"/>
        </w:rPr>
        <w:t>you as the recipient</w:t>
      </w:r>
      <w:r>
        <w:rPr>
          <w:rFonts w:eastAsiaTheme="minorHAnsi" w:cs="Times New Roman"/>
          <w:szCs w:val="24"/>
          <w:lang w:val="en"/>
        </w:rPr>
        <w:t xml:space="preserve"> are required to comply</w:t>
      </w:r>
      <w:r>
        <w:rPr>
          <w:rFonts w:cs="Times New Roman"/>
          <w:szCs w:val="24"/>
        </w:rPr>
        <w:t>.</w:t>
      </w:r>
      <w:r w:rsidR="00A02801">
        <w:rPr>
          <w:rFonts w:cs="Times New Roman"/>
          <w:szCs w:val="24"/>
        </w:rPr>
        <w:t xml:space="preserve"> </w:t>
      </w:r>
      <w:r w:rsidR="000106C6">
        <w:rPr>
          <w:rFonts w:cs="Times New Roman"/>
          <w:szCs w:val="24"/>
        </w:rPr>
        <w:t xml:space="preserve"> Additional guidance is available on </w:t>
      </w:r>
      <w:hyperlink r:id="rId49" w:history="1">
        <w:r w:rsidR="000106C6" w:rsidRPr="000106C6">
          <w:rPr>
            <w:rStyle w:val="Hyperlink"/>
            <w:rFonts w:cs="Times New Roman"/>
            <w:szCs w:val="24"/>
          </w:rPr>
          <w:t>Sam.gov</w:t>
        </w:r>
      </w:hyperlink>
      <w:r w:rsidR="000106C6">
        <w:rPr>
          <w:rFonts w:cs="Times New Roman"/>
          <w:szCs w:val="24"/>
        </w:rPr>
        <w:t>.</w:t>
      </w:r>
      <w:r>
        <w:rPr>
          <w:rFonts w:cs="Times New Roman"/>
          <w:szCs w:val="24"/>
        </w:rPr>
        <w:t xml:space="preserve"> </w:t>
      </w:r>
      <w:r w:rsidRPr="00642F05">
        <w:rPr>
          <w:rFonts w:cs="Times New Roman"/>
          <w:szCs w:val="24"/>
        </w:rPr>
        <w:t xml:space="preserve"> </w:t>
      </w:r>
    </w:p>
    <w:p w14:paraId="5D246762" w14:textId="68FE678C" w:rsidR="00BE669E" w:rsidRPr="00BB16A5" w:rsidRDefault="00925013" w:rsidP="00C87CF0">
      <w:pPr>
        <w:pStyle w:val="Heading1"/>
        <w:ind w:left="360"/>
        <w:rPr>
          <w:bCs/>
        </w:rPr>
      </w:pPr>
      <w:r w:rsidRPr="00C87CF0">
        <w:rPr>
          <w:rStyle w:val="Heading1Char"/>
          <w:b/>
          <w:bCs/>
        </w:rPr>
        <w:t xml:space="preserve">Trafficking in </w:t>
      </w:r>
      <w:r w:rsidR="006463DD">
        <w:rPr>
          <w:rStyle w:val="Heading1Char"/>
          <w:b/>
          <w:bCs/>
        </w:rPr>
        <w:t>P</w:t>
      </w:r>
      <w:r w:rsidRPr="00C87CF0">
        <w:rPr>
          <w:rStyle w:val="Heading1Char"/>
          <w:b/>
          <w:bCs/>
        </w:rPr>
        <w:t>ersons.</w:t>
      </w:r>
      <w:r w:rsidR="0068043D" w:rsidRPr="00BB16A5">
        <w:rPr>
          <w:bCs/>
        </w:rPr>
        <w:t xml:space="preserve"> </w:t>
      </w:r>
    </w:p>
    <w:p w14:paraId="7DAD741B" w14:textId="02D76624" w:rsidR="00925013" w:rsidRPr="00642F05" w:rsidRDefault="003769D4" w:rsidP="00925013">
      <w:pPr>
        <w:rPr>
          <w:rFonts w:cs="Times New Roman"/>
          <w:szCs w:val="24"/>
          <w:lang w:val="en"/>
        </w:rPr>
      </w:pPr>
      <w:r>
        <w:rPr>
          <w:rFonts w:cs="Times New Roman"/>
          <w:szCs w:val="24"/>
        </w:rPr>
        <w:t>Pursuant to 2 CFR part 175, t</w:t>
      </w:r>
      <w:r w:rsidR="00461DC7" w:rsidRPr="00642F05">
        <w:rPr>
          <w:rFonts w:cs="Times New Roman"/>
          <w:szCs w:val="24"/>
        </w:rPr>
        <w:t>he</w:t>
      </w:r>
      <w:r w:rsidR="0068043D" w:rsidRPr="00642F05">
        <w:rPr>
          <w:rFonts w:cs="Times New Roman"/>
          <w:szCs w:val="24"/>
          <w:lang w:val="en"/>
        </w:rPr>
        <w:t xml:space="preserve"> following award term and condition applies as written:  </w:t>
      </w:r>
    </w:p>
    <w:p w14:paraId="024C1EC8" w14:textId="77777777" w:rsidR="00925013" w:rsidRPr="00642F05" w:rsidRDefault="00925013" w:rsidP="00B143DC">
      <w:pPr>
        <w:ind w:left="360"/>
        <w:rPr>
          <w:rFonts w:cs="Times New Roman"/>
          <w:szCs w:val="24"/>
          <w:lang w:val="en"/>
        </w:rPr>
      </w:pPr>
      <w:r w:rsidRPr="00642F05">
        <w:rPr>
          <w:rFonts w:cs="Times New Roman"/>
          <w:szCs w:val="24"/>
          <w:lang w:val="en"/>
        </w:rPr>
        <w:t xml:space="preserve">a. </w:t>
      </w:r>
      <w:r w:rsidRPr="00642F05">
        <w:rPr>
          <w:rFonts w:cs="Times New Roman"/>
          <w:i/>
          <w:iCs/>
          <w:szCs w:val="24"/>
          <w:lang w:val="en"/>
        </w:rPr>
        <w:t>Provisions applicable to a recipient that is a private entity.</w:t>
      </w:r>
    </w:p>
    <w:p w14:paraId="3D459295" w14:textId="77777777" w:rsidR="00925013" w:rsidRPr="00642F05" w:rsidRDefault="00925013" w:rsidP="00B143DC">
      <w:pPr>
        <w:ind w:left="360"/>
        <w:rPr>
          <w:rFonts w:cs="Times New Roman"/>
          <w:szCs w:val="24"/>
          <w:lang w:val="en"/>
        </w:rPr>
      </w:pPr>
      <w:r w:rsidRPr="00642F05">
        <w:rPr>
          <w:rFonts w:cs="Times New Roman"/>
          <w:szCs w:val="24"/>
          <w:lang w:val="en"/>
        </w:rPr>
        <w:t>1. You as the recipient, your employees, subrecipients under this award, and subrecipients' employees may not—</w:t>
      </w:r>
    </w:p>
    <w:p w14:paraId="31153340" w14:textId="77777777" w:rsidR="00925013" w:rsidRPr="00642F05" w:rsidRDefault="00925013" w:rsidP="00B143DC">
      <w:pPr>
        <w:ind w:left="360"/>
        <w:rPr>
          <w:rFonts w:cs="Times New Roman"/>
          <w:szCs w:val="24"/>
          <w:lang w:val="en"/>
        </w:rPr>
      </w:pPr>
      <w:r w:rsidRPr="00642F05">
        <w:rPr>
          <w:rFonts w:cs="Times New Roman"/>
          <w:szCs w:val="24"/>
          <w:lang w:val="en"/>
        </w:rPr>
        <w:t>i. Engage in severe forms of trafficking in persons during the period of time that the award is in effect;</w:t>
      </w:r>
    </w:p>
    <w:p w14:paraId="155BF5EB" w14:textId="77777777" w:rsidR="00925013" w:rsidRPr="00642F05" w:rsidRDefault="00925013" w:rsidP="00B143DC">
      <w:pPr>
        <w:ind w:left="360"/>
        <w:rPr>
          <w:rFonts w:cs="Times New Roman"/>
          <w:szCs w:val="24"/>
          <w:lang w:val="en"/>
        </w:rPr>
      </w:pPr>
      <w:r w:rsidRPr="00642F05">
        <w:rPr>
          <w:rFonts w:cs="Times New Roman"/>
          <w:szCs w:val="24"/>
          <w:lang w:val="en"/>
        </w:rPr>
        <w:t>ii. Procure a commercial sex act during the period of time that the award is in effect; or</w:t>
      </w:r>
    </w:p>
    <w:p w14:paraId="03F5FFC8" w14:textId="77777777" w:rsidR="00925013" w:rsidRPr="00642F05" w:rsidRDefault="00925013" w:rsidP="00B143DC">
      <w:pPr>
        <w:ind w:left="360"/>
        <w:rPr>
          <w:rFonts w:cs="Times New Roman"/>
          <w:szCs w:val="24"/>
          <w:lang w:val="en"/>
        </w:rPr>
      </w:pPr>
      <w:r w:rsidRPr="00642F05">
        <w:rPr>
          <w:rFonts w:cs="Times New Roman"/>
          <w:szCs w:val="24"/>
          <w:lang w:val="en"/>
        </w:rPr>
        <w:t>iii. Use forced labor in the performance of the award or subawards under the award.</w:t>
      </w:r>
    </w:p>
    <w:p w14:paraId="0F62531B" w14:textId="77777777" w:rsidR="00925013" w:rsidRPr="00642F05" w:rsidRDefault="00925013" w:rsidP="00B143DC">
      <w:pPr>
        <w:ind w:left="360"/>
        <w:rPr>
          <w:rFonts w:cs="Times New Roman"/>
          <w:szCs w:val="24"/>
          <w:lang w:val="en"/>
        </w:rPr>
      </w:pPr>
      <w:r w:rsidRPr="00642F05">
        <w:rPr>
          <w:rFonts w:cs="Times New Roman"/>
          <w:szCs w:val="24"/>
          <w:lang w:val="en"/>
        </w:rPr>
        <w:t>2. We as the Federal awarding agency may unilaterally terminate this award, without penalty, if you or a subrecipient that is a private entity —</w:t>
      </w:r>
    </w:p>
    <w:p w14:paraId="4A1AF62B" w14:textId="77777777" w:rsidR="00925013" w:rsidRPr="00642F05" w:rsidRDefault="00925013" w:rsidP="00B143DC">
      <w:pPr>
        <w:ind w:left="360"/>
        <w:rPr>
          <w:rFonts w:cs="Times New Roman"/>
          <w:szCs w:val="24"/>
          <w:lang w:val="en"/>
        </w:rPr>
      </w:pPr>
      <w:r w:rsidRPr="00642F05">
        <w:rPr>
          <w:rFonts w:cs="Times New Roman"/>
          <w:szCs w:val="24"/>
          <w:lang w:val="en"/>
        </w:rPr>
        <w:t>i. Is determined to have violated a prohibition in paragraph a.1 of this award term; or</w:t>
      </w:r>
    </w:p>
    <w:p w14:paraId="0762B4C7" w14:textId="77777777" w:rsidR="00925013" w:rsidRPr="00642F05" w:rsidRDefault="00925013" w:rsidP="00B143DC">
      <w:pPr>
        <w:ind w:left="360"/>
        <w:rPr>
          <w:rFonts w:cs="Times New Roman"/>
          <w:szCs w:val="24"/>
          <w:lang w:val="en"/>
        </w:rPr>
      </w:pPr>
      <w:r w:rsidRPr="00642F05">
        <w:rPr>
          <w:rFonts w:cs="Times New Roman"/>
          <w:szCs w:val="24"/>
          <w:lang w:val="en"/>
        </w:rPr>
        <w:t>ii. Has an employee who is determined by the agency official authorized to terminate the award to have violated a prohibition in paragraph a.1 of this award term through conduct that is either—</w:t>
      </w:r>
    </w:p>
    <w:p w14:paraId="70BDF202" w14:textId="77777777" w:rsidR="00925013" w:rsidRPr="00642F05" w:rsidRDefault="00925013" w:rsidP="00B143DC">
      <w:pPr>
        <w:ind w:left="360"/>
        <w:rPr>
          <w:rFonts w:cs="Times New Roman"/>
          <w:szCs w:val="24"/>
          <w:lang w:val="en"/>
        </w:rPr>
      </w:pPr>
      <w:r w:rsidRPr="00642F05">
        <w:rPr>
          <w:rFonts w:cs="Times New Roman"/>
          <w:szCs w:val="24"/>
          <w:lang w:val="en"/>
        </w:rPr>
        <w:t>A. Associated with performance under this award; or</w:t>
      </w:r>
    </w:p>
    <w:p w14:paraId="41FA2E03" w14:textId="66A5CF40" w:rsidR="00925013" w:rsidRPr="00642F05" w:rsidRDefault="00925013" w:rsidP="00B143DC">
      <w:pPr>
        <w:ind w:left="360"/>
        <w:rPr>
          <w:rFonts w:cs="Times New Roman"/>
          <w:szCs w:val="24"/>
          <w:lang w:val="en"/>
        </w:rPr>
      </w:pPr>
      <w:r w:rsidRPr="00642F05">
        <w:rPr>
          <w:rFonts w:cs="Times New Roman"/>
          <w:szCs w:val="24"/>
          <w:lang w:val="en"/>
        </w:rPr>
        <w:t xml:space="preserve">B. Imputed to you or the subrecipient using the standards and due process for imputing the conduct of an individual to an organization that are provided in 2 CFR part 180, “OMB Guidelines to Agencies on Governmentwide Debarment and Suspension (Nonprocurement),” as implemented by </w:t>
      </w:r>
      <w:r w:rsidR="00B06DE5" w:rsidRPr="00642F05">
        <w:rPr>
          <w:rFonts w:cs="Times New Roman"/>
          <w:szCs w:val="24"/>
          <w:lang w:val="en"/>
        </w:rPr>
        <w:t>HUD at 2 CFR 2424</w:t>
      </w:r>
      <w:r w:rsidRPr="00642F05">
        <w:rPr>
          <w:rFonts w:cs="Times New Roman"/>
          <w:i/>
          <w:iCs/>
          <w:szCs w:val="24"/>
          <w:lang w:val="en"/>
        </w:rPr>
        <w:t>.</w:t>
      </w:r>
    </w:p>
    <w:p w14:paraId="35C40986" w14:textId="77777777" w:rsidR="00925013" w:rsidRPr="00642F05" w:rsidRDefault="00925013" w:rsidP="00B143DC">
      <w:pPr>
        <w:ind w:left="360"/>
        <w:rPr>
          <w:rFonts w:cs="Times New Roman"/>
          <w:szCs w:val="24"/>
          <w:lang w:val="en"/>
        </w:rPr>
      </w:pPr>
      <w:r w:rsidRPr="00642F05">
        <w:rPr>
          <w:rFonts w:cs="Times New Roman"/>
          <w:szCs w:val="24"/>
          <w:lang w:val="en"/>
        </w:rPr>
        <w:t xml:space="preserve">b. </w:t>
      </w:r>
      <w:r w:rsidRPr="00642F05">
        <w:rPr>
          <w:rFonts w:cs="Times New Roman"/>
          <w:i/>
          <w:iCs/>
          <w:szCs w:val="24"/>
          <w:lang w:val="en"/>
        </w:rPr>
        <w:t>Provision applicable to a recipient other than a private entity.</w:t>
      </w:r>
      <w:r w:rsidRPr="00642F05">
        <w:rPr>
          <w:rFonts w:cs="Times New Roman"/>
          <w:szCs w:val="24"/>
          <w:lang w:val="en"/>
        </w:rPr>
        <w:t xml:space="preserve"> We as the Federal awarding agency may unilaterally terminate this award, without penalty, if a subrecipient that is a private entity—</w:t>
      </w:r>
    </w:p>
    <w:p w14:paraId="3CAE2AC1" w14:textId="77777777" w:rsidR="00925013" w:rsidRPr="00642F05" w:rsidRDefault="00925013" w:rsidP="00B143DC">
      <w:pPr>
        <w:ind w:left="360"/>
        <w:rPr>
          <w:rFonts w:cs="Times New Roman"/>
          <w:szCs w:val="24"/>
          <w:lang w:val="en"/>
        </w:rPr>
      </w:pPr>
      <w:r w:rsidRPr="00642F05">
        <w:rPr>
          <w:rFonts w:cs="Times New Roman"/>
          <w:szCs w:val="24"/>
          <w:lang w:val="en"/>
        </w:rPr>
        <w:t>1. Is determined to have violated an applicable prohibition in paragraph a.1 of this award term; or</w:t>
      </w:r>
    </w:p>
    <w:p w14:paraId="00AAF620" w14:textId="77777777" w:rsidR="00925013" w:rsidRPr="00642F05" w:rsidRDefault="00925013" w:rsidP="00B143DC">
      <w:pPr>
        <w:ind w:left="360"/>
        <w:rPr>
          <w:rFonts w:cs="Times New Roman"/>
          <w:szCs w:val="24"/>
          <w:lang w:val="en"/>
        </w:rPr>
      </w:pPr>
      <w:r w:rsidRPr="00642F05">
        <w:rPr>
          <w:rFonts w:cs="Times New Roman"/>
          <w:szCs w:val="24"/>
          <w:lang w:val="en"/>
        </w:rPr>
        <w:t>2. Has an employee who is determined by the agency official authorized to terminate the award to have violated an applicable prohibition in paragraph a.1 of this award term through conduct that is either—</w:t>
      </w:r>
    </w:p>
    <w:p w14:paraId="39B0CC18" w14:textId="77777777" w:rsidR="00925013" w:rsidRPr="00642F05" w:rsidRDefault="00925013" w:rsidP="00B143DC">
      <w:pPr>
        <w:ind w:left="360"/>
        <w:rPr>
          <w:rFonts w:cs="Times New Roman"/>
          <w:szCs w:val="24"/>
          <w:lang w:val="en"/>
        </w:rPr>
      </w:pPr>
      <w:r w:rsidRPr="00642F05">
        <w:rPr>
          <w:rFonts w:cs="Times New Roman"/>
          <w:szCs w:val="24"/>
          <w:lang w:val="en"/>
        </w:rPr>
        <w:lastRenderedPageBreak/>
        <w:t>i. Associated with performance under this award; or</w:t>
      </w:r>
    </w:p>
    <w:p w14:paraId="4E927D7A" w14:textId="719D4EB2" w:rsidR="00925013" w:rsidRPr="00642F05" w:rsidRDefault="00925013" w:rsidP="00B143DC">
      <w:pPr>
        <w:ind w:left="360"/>
        <w:rPr>
          <w:rFonts w:cs="Times New Roman"/>
          <w:szCs w:val="24"/>
          <w:lang w:val="en"/>
        </w:rPr>
      </w:pPr>
      <w:r w:rsidRPr="00642F05">
        <w:rPr>
          <w:rFonts w:cs="Times New Roman"/>
          <w:szCs w:val="24"/>
          <w:lang w:val="en"/>
        </w:rPr>
        <w:t xml:space="preserve">ii. Imputed to the subrecipient using the standards and due process for imputing the conduct of an individual to an organization that are provided in 2 CFR part 180, “OMB Guidelines to Agencies on Governmentwide Debarment and Suspension (Nonprocurement),” as implemented by </w:t>
      </w:r>
      <w:r w:rsidR="00AE6E00" w:rsidRPr="00642F05">
        <w:rPr>
          <w:rFonts w:cs="Times New Roman"/>
          <w:szCs w:val="24"/>
          <w:lang w:val="en"/>
        </w:rPr>
        <w:t>HUD at 2 CFR 2424</w:t>
      </w:r>
      <w:r w:rsidRPr="00642F05">
        <w:rPr>
          <w:rFonts w:cs="Times New Roman"/>
          <w:i/>
          <w:iCs/>
          <w:szCs w:val="24"/>
          <w:lang w:val="en"/>
        </w:rPr>
        <w:t>.</w:t>
      </w:r>
    </w:p>
    <w:p w14:paraId="64E47E92" w14:textId="77777777" w:rsidR="00925013" w:rsidRPr="00642F05" w:rsidRDefault="00925013" w:rsidP="00B143DC">
      <w:pPr>
        <w:ind w:left="360"/>
        <w:rPr>
          <w:rFonts w:cs="Times New Roman"/>
          <w:szCs w:val="24"/>
          <w:lang w:val="en"/>
        </w:rPr>
      </w:pPr>
      <w:r w:rsidRPr="00642F05">
        <w:rPr>
          <w:rFonts w:cs="Times New Roman"/>
          <w:szCs w:val="24"/>
          <w:lang w:val="en"/>
        </w:rPr>
        <w:t xml:space="preserve">c. </w:t>
      </w:r>
      <w:r w:rsidRPr="00642F05">
        <w:rPr>
          <w:rFonts w:cs="Times New Roman"/>
          <w:i/>
          <w:iCs/>
          <w:szCs w:val="24"/>
          <w:lang w:val="en"/>
        </w:rPr>
        <w:t>Provisions applicable to any recipient.</w:t>
      </w:r>
    </w:p>
    <w:p w14:paraId="2CD88B4B" w14:textId="77777777" w:rsidR="00925013" w:rsidRPr="00642F05" w:rsidRDefault="00925013" w:rsidP="00B143DC">
      <w:pPr>
        <w:ind w:left="360"/>
        <w:rPr>
          <w:rFonts w:cs="Times New Roman"/>
          <w:szCs w:val="24"/>
          <w:lang w:val="en"/>
        </w:rPr>
      </w:pPr>
      <w:r w:rsidRPr="00642F05">
        <w:rPr>
          <w:rFonts w:cs="Times New Roman"/>
          <w:szCs w:val="24"/>
          <w:lang w:val="en"/>
        </w:rPr>
        <w:t>1. You must inform us immediately of any information you receive from any source alleging a violation of a prohibition in paragraph a.1 of this award term.</w:t>
      </w:r>
    </w:p>
    <w:p w14:paraId="0A649770" w14:textId="77777777" w:rsidR="00925013" w:rsidRPr="00642F05" w:rsidRDefault="00925013" w:rsidP="00B143DC">
      <w:pPr>
        <w:ind w:left="360"/>
        <w:rPr>
          <w:rFonts w:cs="Times New Roman"/>
          <w:szCs w:val="24"/>
          <w:lang w:val="en"/>
        </w:rPr>
      </w:pPr>
      <w:r w:rsidRPr="00642F05">
        <w:rPr>
          <w:rFonts w:cs="Times New Roman"/>
          <w:szCs w:val="24"/>
          <w:lang w:val="en"/>
        </w:rPr>
        <w:t>2. Our right to terminate unilaterally that is described in paragraph a.2 or b of this section:</w:t>
      </w:r>
    </w:p>
    <w:p w14:paraId="50125956" w14:textId="77777777" w:rsidR="00925013" w:rsidRPr="00642F05" w:rsidRDefault="00925013" w:rsidP="00B143DC">
      <w:pPr>
        <w:ind w:left="360"/>
        <w:rPr>
          <w:rFonts w:cs="Times New Roman"/>
          <w:szCs w:val="24"/>
          <w:lang w:val="en"/>
        </w:rPr>
      </w:pPr>
      <w:r w:rsidRPr="00642F05">
        <w:rPr>
          <w:rFonts w:cs="Times New Roman"/>
          <w:szCs w:val="24"/>
          <w:lang w:val="en"/>
        </w:rPr>
        <w:t>i. Implements section 106(g) of the Trafficking Victims Protection Act of 2000 (TVPA), as amended (22 U.S.C. 7104(g)), and</w:t>
      </w:r>
    </w:p>
    <w:p w14:paraId="6AFA142D" w14:textId="77777777" w:rsidR="00925013" w:rsidRPr="00642F05" w:rsidRDefault="00925013" w:rsidP="00B143DC">
      <w:pPr>
        <w:ind w:left="360"/>
        <w:rPr>
          <w:rFonts w:cs="Times New Roman"/>
          <w:szCs w:val="24"/>
          <w:lang w:val="en"/>
        </w:rPr>
      </w:pPr>
      <w:r w:rsidRPr="00642F05">
        <w:rPr>
          <w:rFonts w:cs="Times New Roman"/>
          <w:szCs w:val="24"/>
          <w:lang w:val="en"/>
        </w:rPr>
        <w:t>ii. Is in addition to all other remedies for noncompliance that are available to us under this award.</w:t>
      </w:r>
    </w:p>
    <w:p w14:paraId="16E4FDAF" w14:textId="77777777" w:rsidR="00925013" w:rsidRPr="00642F05" w:rsidRDefault="00925013" w:rsidP="00B143DC">
      <w:pPr>
        <w:ind w:left="360"/>
        <w:rPr>
          <w:rFonts w:cs="Times New Roman"/>
          <w:szCs w:val="24"/>
          <w:lang w:val="en"/>
        </w:rPr>
      </w:pPr>
      <w:r w:rsidRPr="00642F05">
        <w:rPr>
          <w:rFonts w:cs="Times New Roman"/>
          <w:szCs w:val="24"/>
          <w:lang w:val="en"/>
        </w:rPr>
        <w:t>3. You must include the requirements of paragraph a.1 of this award term in any subaward you make to a private entity.</w:t>
      </w:r>
    </w:p>
    <w:p w14:paraId="69E4D573" w14:textId="77777777" w:rsidR="00925013" w:rsidRPr="00642F05" w:rsidRDefault="00925013" w:rsidP="00B143DC">
      <w:pPr>
        <w:ind w:left="360"/>
        <w:rPr>
          <w:rFonts w:cs="Times New Roman"/>
          <w:szCs w:val="24"/>
          <w:lang w:val="en"/>
        </w:rPr>
      </w:pPr>
      <w:r w:rsidRPr="00642F05">
        <w:rPr>
          <w:rFonts w:cs="Times New Roman"/>
          <w:szCs w:val="24"/>
          <w:lang w:val="en"/>
        </w:rPr>
        <w:t xml:space="preserve">d. </w:t>
      </w:r>
      <w:r w:rsidRPr="00642F05">
        <w:rPr>
          <w:rFonts w:cs="Times New Roman"/>
          <w:i/>
          <w:iCs/>
          <w:szCs w:val="24"/>
          <w:lang w:val="en"/>
        </w:rPr>
        <w:t>Definitions.</w:t>
      </w:r>
      <w:r w:rsidRPr="00642F05">
        <w:rPr>
          <w:rFonts w:cs="Times New Roman"/>
          <w:szCs w:val="24"/>
          <w:lang w:val="en"/>
        </w:rPr>
        <w:t xml:space="preserve"> For purposes of this award term:</w:t>
      </w:r>
    </w:p>
    <w:p w14:paraId="0ADD836F" w14:textId="77777777" w:rsidR="00925013" w:rsidRPr="00642F05" w:rsidRDefault="00925013" w:rsidP="00B143DC">
      <w:pPr>
        <w:ind w:left="360"/>
        <w:rPr>
          <w:rFonts w:cs="Times New Roman"/>
          <w:szCs w:val="24"/>
          <w:lang w:val="en"/>
        </w:rPr>
      </w:pPr>
      <w:r w:rsidRPr="00642F05">
        <w:rPr>
          <w:rFonts w:cs="Times New Roman"/>
          <w:szCs w:val="24"/>
          <w:lang w:val="en"/>
        </w:rPr>
        <w:t>1. “Employee” means either:</w:t>
      </w:r>
    </w:p>
    <w:p w14:paraId="6F07E6F4" w14:textId="77777777" w:rsidR="00925013" w:rsidRPr="00642F05" w:rsidRDefault="00925013" w:rsidP="00B143DC">
      <w:pPr>
        <w:ind w:left="360"/>
        <w:rPr>
          <w:rFonts w:cs="Times New Roman"/>
          <w:szCs w:val="24"/>
          <w:lang w:val="en"/>
        </w:rPr>
      </w:pPr>
      <w:r w:rsidRPr="00642F05">
        <w:rPr>
          <w:rFonts w:cs="Times New Roman"/>
          <w:szCs w:val="24"/>
          <w:lang w:val="en"/>
        </w:rPr>
        <w:t>i. An individual employed by you or a subrecipient who is engaged in the performance of the project or program under this award; or</w:t>
      </w:r>
    </w:p>
    <w:p w14:paraId="1D34103C" w14:textId="77777777" w:rsidR="00925013" w:rsidRPr="00642F05" w:rsidRDefault="00925013" w:rsidP="00B143DC">
      <w:pPr>
        <w:ind w:left="360"/>
        <w:rPr>
          <w:rFonts w:cs="Times New Roman"/>
          <w:szCs w:val="24"/>
          <w:lang w:val="en"/>
        </w:rPr>
      </w:pPr>
      <w:r w:rsidRPr="00642F05">
        <w:rPr>
          <w:rFonts w:cs="Times New Roman"/>
          <w:szCs w:val="24"/>
          <w:lang w:val="en"/>
        </w:rPr>
        <w:t>ii. Another person engaged in the performance of the project or program under this award and not compensated by you including, but not limited to, a volunteer or individual whose services are contributed by a third party as an in-kind contribution toward cost sharing or matching requirements.</w:t>
      </w:r>
    </w:p>
    <w:p w14:paraId="715F8F5B" w14:textId="77777777" w:rsidR="00925013" w:rsidRPr="00642F05" w:rsidRDefault="00925013" w:rsidP="00B143DC">
      <w:pPr>
        <w:ind w:left="360"/>
        <w:rPr>
          <w:rFonts w:cs="Times New Roman"/>
          <w:szCs w:val="24"/>
          <w:lang w:val="en"/>
        </w:rPr>
      </w:pPr>
      <w:r w:rsidRPr="00642F05">
        <w:rPr>
          <w:rFonts w:cs="Times New Roman"/>
          <w:szCs w:val="24"/>
          <w:lang w:val="en"/>
        </w:rPr>
        <w:t>2. “Forced labor” means labor obtained by any of the following methods: the recruitment, harboring, transportation, provision, or obtaining of a person for labor or services, through the use of force, fraud, or coercion for the purpose of subjection to involuntary servitude, peonage, debt bondage, or slavery.</w:t>
      </w:r>
    </w:p>
    <w:p w14:paraId="7A0B93C9" w14:textId="77777777" w:rsidR="00925013" w:rsidRPr="00642F05" w:rsidRDefault="00925013" w:rsidP="00B143DC">
      <w:pPr>
        <w:ind w:left="360"/>
        <w:rPr>
          <w:rFonts w:cs="Times New Roman"/>
          <w:szCs w:val="24"/>
          <w:lang w:val="en"/>
        </w:rPr>
      </w:pPr>
      <w:r w:rsidRPr="00642F05">
        <w:rPr>
          <w:rFonts w:cs="Times New Roman"/>
          <w:szCs w:val="24"/>
          <w:lang w:val="en"/>
        </w:rPr>
        <w:t>3. “Private entity”:</w:t>
      </w:r>
    </w:p>
    <w:p w14:paraId="29317E6E" w14:textId="77777777" w:rsidR="00925013" w:rsidRPr="00642F05" w:rsidRDefault="00925013" w:rsidP="00B143DC">
      <w:pPr>
        <w:ind w:left="360"/>
        <w:rPr>
          <w:rFonts w:cs="Times New Roman"/>
          <w:szCs w:val="24"/>
          <w:lang w:val="en"/>
        </w:rPr>
      </w:pPr>
      <w:r w:rsidRPr="00642F05">
        <w:rPr>
          <w:rFonts w:cs="Times New Roman"/>
          <w:szCs w:val="24"/>
          <w:lang w:val="en"/>
        </w:rPr>
        <w:t>i. Means any entity other than a State, local government, Indian tribe, or foreign public entity, as those terms are defined in 2 CFR 175.25.</w:t>
      </w:r>
    </w:p>
    <w:p w14:paraId="6ACC17E7" w14:textId="77777777" w:rsidR="00925013" w:rsidRPr="00642F05" w:rsidRDefault="00925013" w:rsidP="00B143DC">
      <w:pPr>
        <w:ind w:left="360"/>
        <w:rPr>
          <w:rFonts w:cs="Times New Roman"/>
          <w:szCs w:val="24"/>
          <w:lang w:val="en"/>
        </w:rPr>
      </w:pPr>
      <w:r w:rsidRPr="00642F05">
        <w:rPr>
          <w:rFonts w:cs="Times New Roman"/>
          <w:szCs w:val="24"/>
          <w:lang w:val="en"/>
        </w:rPr>
        <w:t>ii. Includes:</w:t>
      </w:r>
    </w:p>
    <w:p w14:paraId="32BDDFDF" w14:textId="77777777" w:rsidR="00925013" w:rsidRPr="00642F05" w:rsidRDefault="00925013" w:rsidP="00B143DC">
      <w:pPr>
        <w:ind w:left="360"/>
        <w:rPr>
          <w:rFonts w:cs="Times New Roman"/>
          <w:szCs w:val="24"/>
          <w:lang w:val="en"/>
        </w:rPr>
      </w:pPr>
      <w:r w:rsidRPr="00642F05">
        <w:rPr>
          <w:rFonts w:cs="Times New Roman"/>
          <w:szCs w:val="24"/>
          <w:lang w:val="en"/>
        </w:rPr>
        <w:t>A. A nonprofit organization, including any nonprofit institution of higher education, hospital, or tribal organization other than one included in the definition of Indian tribe at 2 CFR 175.25(b).</w:t>
      </w:r>
    </w:p>
    <w:p w14:paraId="394237AB" w14:textId="77777777" w:rsidR="00925013" w:rsidRPr="00642F05" w:rsidRDefault="00925013" w:rsidP="00B143DC">
      <w:pPr>
        <w:ind w:left="360"/>
        <w:rPr>
          <w:rFonts w:cs="Times New Roman"/>
          <w:szCs w:val="24"/>
          <w:lang w:val="en"/>
        </w:rPr>
      </w:pPr>
      <w:r w:rsidRPr="00642F05">
        <w:rPr>
          <w:rFonts w:cs="Times New Roman"/>
          <w:szCs w:val="24"/>
          <w:lang w:val="en"/>
        </w:rPr>
        <w:t>B. A for-profit organization.</w:t>
      </w:r>
    </w:p>
    <w:p w14:paraId="6BE45051" w14:textId="0E9B211F" w:rsidR="00C93C7B" w:rsidRPr="00642F05" w:rsidRDefault="00925013" w:rsidP="004C7E73">
      <w:pPr>
        <w:ind w:left="360"/>
        <w:rPr>
          <w:rFonts w:cs="Times New Roman"/>
          <w:b/>
          <w:szCs w:val="24"/>
        </w:rPr>
      </w:pPr>
      <w:r w:rsidRPr="00642F05">
        <w:rPr>
          <w:rFonts w:cs="Times New Roman"/>
          <w:szCs w:val="24"/>
          <w:lang w:val="en"/>
        </w:rPr>
        <w:t>4. “Severe forms of trafficking in persons,” “commercial sex act,” and “coercion” have the meanings given at section 103 of the TVPA, as amended (22 U.S.C. 7102).</w:t>
      </w:r>
    </w:p>
    <w:p w14:paraId="5783B09C" w14:textId="23707129" w:rsidR="009875C4" w:rsidRPr="00C87CF0" w:rsidRDefault="009875C4" w:rsidP="00C87CF0">
      <w:pPr>
        <w:pStyle w:val="Heading1"/>
        <w:ind w:left="360"/>
        <w:rPr>
          <w:b w:val="0"/>
        </w:rPr>
      </w:pPr>
      <w:r w:rsidRPr="00C87CF0">
        <w:lastRenderedPageBreak/>
        <w:t>Award Term and Condition for Recipient Integrity and Performance Matters</w:t>
      </w:r>
      <w:r w:rsidR="00B143DC">
        <w:t>.</w:t>
      </w:r>
    </w:p>
    <w:p w14:paraId="01A8EAAB" w14:textId="6B006EB9" w:rsidR="0082783F" w:rsidRPr="00642F05" w:rsidRDefault="0082783F" w:rsidP="009875C4">
      <w:pPr>
        <w:rPr>
          <w:rFonts w:cs="Times New Roman"/>
          <w:b/>
          <w:bCs/>
          <w:szCs w:val="24"/>
          <w:lang w:val="en"/>
        </w:rPr>
      </w:pPr>
      <w:r w:rsidRPr="00642F05">
        <w:rPr>
          <w:rFonts w:cs="Times New Roman"/>
          <w:szCs w:val="24"/>
        </w:rPr>
        <w:t>If the total Federal share of the Federal award include</w:t>
      </w:r>
      <w:r w:rsidR="004F22DE">
        <w:rPr>
          <w:rFonts w:cs="Times New Roman"/>
          <w:szCs w:val="24"/>
        </w:rPr>
        <w:t>s</w:t>
      </w:r>
      <w:r w:rsidRPr="00642F05">
        <w:rPr>
          <w:rFonts w:cs="Times New Roman"/>
          <w:szCs w:val="24"/>
        </w:rPr>
        <w:t xml:space="preserve"> more than $500,000 over the period of performance, </w:t>
      </w:r>
      <w:hyperlink r:id="rId50" w:history="1">
        <w:r w:rsidR="004F22DE" w:rsidRPr="004F22DE">
          <w:rPr>
            <w:rStyle w:val="Hyperlink"/>
            <w:rFonts w:cs="Times New Roman"/>
            <w:szCs w:val="24"/>
          </w:rPr>
          <w:t>Appendix XII to 2 CFR part 200</w:t>
        </w:r>
      </w:hyperlink>
      <w:r w:rsidR="004F22DE">
        <w:rPr>
          <w:rFonts w:cs="Times New Roman"/>
          <w:szCs w:val="24"/>
        </w:rPr>
        <w:t xml:space="preserve"> applies and is incorporated into the </w:t>
      </w:r>
      <w:r w:rsidR="00596168" w:rsidRPr="00642F05">
        <w:rPr>
          <w:rFonts w:cs="Times New Roman"/>
          <w:szCs w:val="24"/>
        </w:rPr>
        <w:t>award term</w:t>
      </w:r>
      <w:r w:rsidR="004F22DE">
        <w:rPr>
          <w:rFonts w:cs="Times New Roman"/>
          <w:szCs w:val="24"/>
        </w:rPr>
        <w:t>s</w:t>
      </w:r>
      <w:r w:rsidR="00596168" w:rsidRPr="00642F05">
        <w:rPr>
          <w:rFonts w:cs="Times New Roman"/>
          <w:szCs w:val="24"/>
        </w:rPr>
        <w:t xml:space="preserve"> and condition</w:t>
      </w:r>
      <w:r w:rsidR="004F22DE">
        <w:rPr>
          <w:rFonts w:cs="Times New Roman"/>
          <w:szCs w:val="24"/>
        </w:rPr>
        <w:t xml:space="preserve">s. </w:t>
      </w:r>
      <w:r w:rsidR="00596168" w:rsidRPr="00642F05">
        <w:rPr>
          <w:rFonts w:cs="Times New Roman"/>
          <w:szCs w:val="24"/>
        </w:rPr>
        <w:t xml:space="preserve"> </w:t>
      </w:r>
    </w:p>
    <w:p w14:paraId="42683EB0" w14:textId="30B29694" w:rsidR="004805C1" w:rsidRPr="00642F05" w:rsidRDefault="004805C1" w:rsidP="00C87CF0">
      <w:pPr>
        <w:pStyle w:val="Heading1"/>
        <w:ind w:left="360"/>
      </w:pPr>
      <w:r w:rsidRPr="00642F05">
        <w:t xml:space="preserve">Suspension and </w:t>
      </w:r>
      <w:r w:rsidR="006463DD">
        <w:t>D</w:t>
      </w:r>
      <w:r w:rsidRPr="00642F05">
        <w:t>ebarment.</w:t>
      </w:r>
    </w:p>
    <w:p w14:paraId="52DD029E" w14:textId="56B98477" w:rsidR="00C93C7B" w:rsidRDefault="004805C1" w:rsidP="004D7AA0">
      <w:pPr>
        <w:rPr>
          <w:rFonts w:cs="Times New Roman"/>
        </w:rPr>
      </w:pPr>
      <w:r w:rsidRPr="00642F05">
        <w:rPr>
          <w:rFonts w:cs="Times New Roman"/>
          <w:szCs w:val="24"/>
        </w:rPr>
        <w:t>The governmentwide debarment and suspension regulations in 2 CFR part 180 apply as incorporated and supplemented by HUD’s implementing regulations in 2 CFR part 2424. These regulations restrict awards, subawards, and contracts with certain parties that are debarred, suspended, or otherwise excluded from or ineligible for participati</w:t>
      </w:r>
      <w:r w:rsidRPr="004805C1">
        <w:rPr>
          <w:rFonts w:cs="Times New Roman"/>
        </w:rPr>
        <w:t>on in Federal assistance programs or activities.</w:t>
      </w:r>
    </w:p>
    <w:p w14:paraId="08D7AA26" w14:textId="4E47871A" w:rsidR="00DE7DE7" w:rsidRPr="00642F05" w:rsidRDefault="00DE7DE7" w:rsidP="00DE7DE7">
      <w:pPr>
        <w:pStyle w:val="Heading1"/>
        <w:ind w:left="360"/>
      </w:pPr>
      <w:r>
        <w:t xml:space="preserve">Environmental </w:t>
      </w:r>
      <w:r w:rsidR="00770203">
        <w:t xml:space="preserve">Justice </w:t>
      </w:r>
      <w:r w:rsidR="009322E9">
        <w:t>R</w:t>
      </w:r>
      <w:r>
        <w:t>equirements</w:t>
      </w:r>
      <w:r w:rsidRPr="00642F05">
        <w:t>.</w:t>
      </w:r>
    </w:p>
    <w:p w14:paraId="71086FE0" w14:textId="7BD45BB2" w:rsidR="0028025A" w:rsidRDefault="00080718" w:rsidP="00DE7DE7">
      <w:pPr>
        <w:rPr>
          <w:rFonts w:cs="Times New Roman"/>
        </w:rPr>
      </w:pPr>
      <w:r>
        <w:rPr>
          <w:rFonts w:cs="Times New Roman"/>
          <w:szCs w:val="24"/>
        </w:rPr>
        <w:t>Based on the NOFO under which you</w:t>
      </w:r>
      <w:r w:rsidR="00E4465F">
        <w:rPr>
          <w:rFonts w:cs="Times New Roman"/>
          <w:szCs w:val="24"/>
        </w:rPr>
        <w:t xml:space="preserve"> applied, y</w:t>
      </w:r>
      <w:r w:rsidR="0028025A" w:rsidRPr="0028025A">
        <w:rPr>
          <w:rFonts w:cs="Times New Roman"/>
          <w:szCs w:val="24"/>
        </w:rPr>
        <w:t>ou must</w:t>
      </w:r>
      <w:r w:rsidR="00830C11">
        <w:rPr>
          <w:rFonts w:cs="Times New Roman"/>
          <w:szCs w:val="24"/>
        </w:rPr>
        <w:t xml:space="preserve"> comply with</w:t>
      </w:r>
      <w:r w:rsidRPr="00080718">
        <w:rPr>
          <w:rFonts w:eastAsia="Times New Roman" w:cs="Times New Roman"/>
        </w:rPr>
        <w:t xml:space="preserve"> environmental justice</w:t>
      </w:r>
      <w:r w:rsidRPr="00080718">
        <w:rPr>
          <w:rFonts w:eastAsia="Times New Roman" w:cs="Times New Roman"/>
          <w:szCs w:val="24"/>
        </w:rPr>
        <w:t xml:space="preserve"> requirements under Executive Orders </w:t>
      </w:r>
      <w:hyperlink r:id="rId51" w:history="1">
        <w:r w:rsidRPr="00080718">
          <w:rPr>
            <w:rFonts w:eastAsia="Times New Roman" w:cs="Times New Roman"/>
            <w:color w:val="0000FF"/>
            <w:szCs w:val="24"/>
            <w:u w:val="single"/>
          </w:rPr>
          <w:t>12898</w:t>
        </w:r>
      </w:hyperlink>
      <w:r w:rsidRPr="00080718">
        <w:rPr>
          <w:rFonts w:eastAsia="Times New Roman" w:cs="Times New Roman"/>
          <w:szCs w:val="24"/>
        </w:rPr>
        <w:t xml:space="preserve"> and </w:t>
      </w:r>
      <w:hyperlink r:id="rId52" w:history="1">
        <w:r w:rsidRPr="00080718">
          <w:rPr>
            <w:rFonts w:eastAsia="Times New Roman" w:cs="Times New Roman"/>
            <w:color w:val="0000FF"/>
            <w:szCs w:val="24"/>
            <w:u w:val="single"/>
          </w:rPr>
          <w:t>14008</w:t>
        </w:r>
      </w:hyperlink>
      <w:r w:rsidR="00D77E04">
        <w:rPr>
          <w:rFonts w:eastAsia="Times New Roman" w:cs="Times New Roman"/>
          <w:szCs w:val="24"/>
        </w:rPr>
        <w:t>.</w:t>
      </w:r>
      <w:r w:rsidRPr="00080718">
        <w:rPr>
          <w:rFonts w:eastAsia="Times New Roman" w:cs="Times New Roman"/>
          <w:szCs w:val="24"/>
        </w:rPr>
        <w:t xml:space="preserve"> </w:t>
      </w:r>
      <w:r w:rsidR="00D77E04">
        <w:rPr>
          <w:rFonts w:eastAsia="Times New Roman" w:cs="Times New Roman"/>
          <w:szCs w:val="24"/>
        </w:rPr>
        <w:t xml:space="preserve">If your award is covered by </w:t>
      </w:r>
      <w:r w:rsidRPr="00080718">
        <w:rPr>
          <w:rFonts w:eastAsia="Times New Roman" w:cs="Times New Roman"/>
          <w:szCs w:val="24"/>
        </w:rPr>
        <w:t xml:space="preserve">OMB Memorandum </w:t>
      </w:r>
      <w:hyperlink r:id="rId53" w:history="1">
        <w:r w:rsidRPr="00080718">
          <w:rPr>
            <w:rFonts w:eastAsia="Times New Roman" w:cs="Times New Roman"/>
            <w:color w:val="0000FF"/>
            <w:szCs w:val="24"/>
            <w:u w:val="single"/>
          </w:rPr>
          <w:t>M-21-28</w:t>
        </w:r>
      </w:hyperlink>
      <w:r w:rsidRPr="00080718">
        <w:rPr>
          <w:rFonts w:eastAsia="Times New Roman" w:cs="Times New Roman"/>
          <w:szCs w:val="24"/>
        </w:rPr>
        <w:t xml:space="preserve">, which implements the </w:t>
      </w:r>
      <w:r w:rsidRPr="00080718">
        <w:rPr>
          <w:rFonts w:eastAsia="Times New Roman" w:cs="Times New Roman"/>
          <w:i/>
          <w:iCs/>
          <w:szCs w:val="24"/>
        </w:rPr>
        <w:t>Justice40 Initiative</w:t>
      </w:r>
      <w:r w:rsidRPr="00080718">
        <w:rPr>
          <w:rFonts w:eastAsia="Times New Roman" w:cs="Times New Roman"/>
          <w:szCs w:val="24"/>
        </w:rPr>
        <w:t xml:space="preserve">, section 223 of Executive Order </w:t>
      </w:r>
      <w:hyperlink r:id="rId54" w:history="1">
        <w:r w:rsidRPr="00080718">
          <w:rPr>
            <w:rFonts w:eastAsia="Times New Roman" w:cs="Times New Roman"/>
            <w:color w:val="0000FF"/>
            <w:szCs w:val="24"/>
            <w:u w:val="single"/>
          </w:rPr>
          <w:t>14008</w:t>
        </w:r>
      </w:hyperlink>
      <w:r w:rsidR="00A53A1D">
        <w:rPr>
          <w:rFonts w:eastAsia="Times New Roman" w:cs="Times New Roman"/>
          <w:szCs w:val="24"/>
        </w:rPr>
        <w:t xml:space="preserve">, see the additional </w:t>
      </w:r>
      <w:r w:rsidR="00F80919">
        <w:rPr>
          <w:rFonts w:eastAsia="Times New Roman" w:cs="Times New Roman"/>
          <w:szCs w:val="24"/>
        </w:rPr>
        <w:t>instructions in the program NOFO.</w:t>
      </w:r>
      <w:r>
        <w:rPr>
          <w:rFonts w:cs="Times New Roman"/>
          <w:szCs w:val="24"/>
        </w:rPr>
        <w:t xml:space="preserve"> </w:t>
      </w:r>
    </w:p>
    <w:p w14:paraId="556C5212" w14:textId="43E272CD" w:rsidR="00EB2C3A" w:rsidRDefault="00F05815" w:rsidP="00C40812">
      <w:pPr>
        <w:pStyle w:val="Heading1"/>
        <w:ind w:left="360"/>
      </w:pPr>
      <w:r w:rsidRPr="008C598D">
        <w:t>Eliminating Barriers That May Unnecessarily Prevent Individuals with Criminal Histories from Participation</w:t>
      </w:r>
      <w:r>
        <w:t xml:space="preserve"> in HUD Programs</w:t>
      </w:r>
    </w:p>
    <w:p w14:paraId="1546C9EA" w14:textId="312EF5B8" w:rsidR="00F05815" w:rsidRPr="00A54CE5" w:rsidRDefault="00F05815" w:rsidP="004C7E73">
      <w:pPr>
        <w:rPr>
          <w:rFonts w:cs="Times New Roman"/>
          <w:szCs w:val="24"/>
        </w:rPr>
      </w:pPr>
      <w:r w:rsidRPr="00A54CE5">
        <w:rPr>
          <w:rFonts w:cs="Times New Roman"/>
          <w:szCs w:val="24"/>
        </w:rPr>
        <w:t>I</w:t>
      </w:r>
      <w:r w:rsidR="00A54CE5">
        <w:rPr>
          <w:rFonts w:cs="Times New Roman"/>
          <w:szCs w:val="24"/>
        </w:rPr>
        <w:t>n accordance with</w:t>
      </w:r>
      <w:r w:rsidR="0030763E" w:rsidRPr="0030763E">
        <w:rPr>
          <w:rFonts w:ascii="Segoe UI" w:hAnsi="Segoe UI" w:cs="Segoe UI"/>
          <w:sz w:val="18"/>
          <w:szCs w:val="18"/>
        </w:rPr>
        <w:t xml:space="preserve"> </w:t>
      </w:r>
      <w:r w:rsidR="0030763E" w:rsidRPr="0030763E">
        <w:rPr>
          <w:rFonts w:cs="Times New Roman"/>
          <w:szCs w:val="24"/>
        </w:rPr>
        <w:t xml:space="preserve">HUD Secretary Fudge’s April 12, 2022, memorandum, </w:t>
      </w:r>
      <w:hyperlink r:id="rId55" w:history="1">
        <w:r w:rsidR="0030763E" w:rsidRPr="0030763E">
          <w:rPr>
            <w:rStyle w:val="Hyperlink"/>
            <w:rFonts w:cs="Times New Roman"/>
            <w:i/>
            <w:iCs/>
            <w:szCs w:val="24"/>
          </w:rPr>
          <w:t>Eliminating Barriers That May Unnecessarily Prevent Individuals with Criminal Histories from Participating in HUD Programs</w:t>
        </w:r>
      </w:hyperlink>
      <w:r w:rsidR="0030763E" w:rsidRPr="0030763E">
        <w:rPr>
          <w:rFonts w:cs="Times New Roman"/>
          <w:szCs w:val="24"/>
        </w:rPr>
        <w:t xml:space="preserve">, </w:t>
      </w:r>
      <w:r w:rsidR="00002231">
        <w:rPr>
          <w:rFonts w:cs="Times New Roman"/>
          <w:szCs w:val="24"/>
        </w:rPr>
        <w:t>you must prevent unfair and potentially discriminatory</w:t>
      </w:r>
      <w:r w:rsidR="00C91A6F" w:rsidRPr="00C91A6F">
        <w:rPr>
          <w:rFonts w:cs="Times New Roman"/>
          <w:szCs w:val="24"/>
        </w:rPr>
        <w:t xml:space="preserve"> exclusions based on criminal history or activity</w:t>
      </w:r>
      <w:r w:rsidR="000E11C4">
        <w:rPr>
          <w:rFonts w:cs="Times New Roman"/>
          <w:szCs w:val="24"/>
        </w:rPr>
        <w:t>. A person otherwise eligible cannot be excluded from participating in the grant program based on arrest record only</w:t>
      </w:r>
      <w:r w:rsidR="00C91A6F" w:rsidRPr="00C91A6F">
        <w:rPr>
          <w:rFonts w:cs="Times New Roman"/>
          <w:szCs w:val="24"/>
        </w:rPr>
        <w:t>. Any reliance on a</w:t>
      </w:r>
      <w:r w:rsidR="00EA3778">
        <w:rPr>
          <w:rFonts w:cs="Times New Roman"/>
          <w:szCs w:val="24"/>
        </w:rPr>
        <w:t xml:space="preserve"> person’s </w:t>
      </w:r>
      <w:r w:rsidR="00C91A6F" w:rsidRPr="00C91A6F">
        <w:rPr>
          <w:rFonts w:cs="Times New Roman"/>
          <w:szCs w:val="24"/>
        </w:rPr>
        <w:t>criminal history or criminal activity must be based on accurate records and reliable evidence</w:t>
      </w:r>
      <w:r w:rsidR="00EA3778">
        <w:rPr>
          <w:rFonts w:cs="Times New Roman"/>
          <w:szCs w:val="24"/>
        </w:rPr>
        <w:t xml:space="preserve"> showing a current danger to persons or property</w:t>
      </w:r>
      <w:r w:rsidR="00C91A6F" w:rsidRPr="00C91A6F">
        <w:rPr>
          <w:rFonts w:cs="Times New Roman"/>
          <w:szCs w:val="24"/>
        </w:rPr>
        <w:t xml:space="preserve">.  Before excluding an individual because of criminal history or activity, you </w:t>
      </w:r>
      <w:r w:rsidR="00E54D05">
        <w:rPr>
          <w:rFonts w:cs="Times New Roman"/>
          <w:szCs w:val="24"/>
        </w:rPr>
        <w:t>must</w:t>
      </w:r>
      <w:r w:rsidR="00E54D05" w:rsidRPr="00C91A6F">
        <w:rPr>
          <w:rFonts w:cs="Times New Roman"/>
          <w:szCs w:val="24"/>
        </w:rPr>
        <w:t xml:space="preserve"> </w:t>
      </w:r>
      <w:r w:rsidR="00C91A6F" w:rsidRPr="00C91A6F">
        <w:rPr>
          <w:rFonts w:cs="Times New Roman"/>
          <w:szCs w:val="24"/>
        </w:rPr>
        <w:t>offer that individual the opportunity to provide evidence of mitigating circumstances</w:t>
      </w:r>
      <w:r w:rsidR="00E54D05">
        <w:rPr>
          <w:rFonts w:cs="Times New Roman"/>
          <w:szCs w:val="24"/>
        </w:rPr>
        <w:t xml:space="preserve"> and you must take such evidence into account. </w:t>
      </w:r>
      <w:r w:rsidR="00AC271D">
        <w:rPr>
          <w:rFonts w:cs="Times New Roman"/>
          <w:szCs w:val="24"/>
        </w:rPr>
        <w:t>Evidence of mitigating circumstances can include</w:t>
      </w:r>
      <w:r w:rsidR="00C91A6F" w:rsidRPr="00C91A6F">
        <w:rPr>
          <w:rFonts w:cs="Times New Roman"/>
          <w:szCs w:val="24"/>
        </w:rPr>
        <w:t xml:space="preserve"> type of crime, the severity of the offense, the length of time since the offense, and evidence of rehabilitation, or that the</w:t>
      </w:r>
      <w:r w:rsidR="00AC271D">
        <w:rPr>
          <w:rFonts w:cs="Times New Roman"/>
          <w:szCs w:val="24"/>
        </w:rPr>
        <w:t xml:space="preserve"> criminal record</w:t>
      </w:r>
      <w:r w:rsidR="00C91A6F" w:rsidRPr="00C91A6F">
        <w:rPr>
          <w:rFonts w:cs="Times New Roman"/>
          <w:szCs w:val="24"/>
        </w:rPr>
        <w:t xml:space="preserve"> is inaccurate.</w:t>
      </w:r>
    </w:p>
    <w:p w14:paraId="16569486" w14:textId="5C724E57" w:rsidR="00302663" w:rsidRDefault="000D2CFF" w:rsidP="00C87CF0">
      <w:pPr>
        <w:pStyle w:val="Heading1"/>
        <w:ind w:left="360"/>
      </w:pPr>
      <w:r>
        <w:t>E</w:t>
      </w:r>
      <w:r w:rsidR="008808C7">
        <w:t xml:space="preserve">quity </w:t>
      </w:r>
      <w:r>
        <w:t>R</w:t>
      </w:r>
      <w:r w:rsidR="008808C7">
        <w:t>eq</w:t>
      </w:r>
      <w:r w:rsidR="00292B9A">
        <w:t>uirements.</w:t>
      </w:r>
    </w:p>
    <w:p w14:paraId="59D48576" w14:textId="48C014CC" w:rsidR="00EF110B" w:rsidRDefault="00EF110B" w:rsidP="00EF110B">
      <w:pPr>
        <w:rPr>
          <w:rFonts w:eastAsiaTheme="minorHAnsi" w:cs="Times New Roman"/>
          <w:sz w:val="22"/>
        </w:rPr>
      </w:pPr>
      <w:r>
        <w:rPr>
          <w:rFonts w:cs="Times New Roman"/>
        </w:rPr>
        <w:t xml:space="preserve">EO 13985 requires federal agencies to develop a comprehensive approach to advancing equity for all, including Black and Brown people and others who have been historically underserved, marginalized, and adversely affected by persistent poverty and inequality.  Affirmatively advancing equity, civil rights, racial justice, and equal opportunity is the </w:t>
      </w:r>
      <w:r w:rsidR="00D42958">
        <w:rPr>
          <w:rFonts w:cs="Times New Roman"/>
        </w:rPr>
        <w:t xml:space="preserve">responsibility of the government </w:t>
      </w:r>
      <w:r>
        <w:rPr>
          <w:rFonts w:cs="Times New Roman"/>
        </w:rPr>
        <w:t xml:space="preserve">and requires a systemic approach to embed fairness in decision-making processes and recognize and redress inequities in policies and programs that serve as barriers to equal opportunity. </w:t>
      </w:r>
      <w:r>
        <w:rPr>
          <w:rFonts w:cs="Times New Roman"/>
          <w:color w:val="000000"/>
        </w:rPr>
        <w:t xml:space="preserve">Recipients of federal financial assistance from HUD are required to comply with any requirements to advance equity as HUD may prescribe in a Notice of Funding Opportunity. </w:t>
      </w:r>
    </w:p>
    <w:p w14:paraId="4910F5CE" w14:textId="77777777" w:rsidR="00EF110B" w:rsidRPr="00A805F3" w:rsidRDefault="00EF110B" w:rsidP="00EF110B">
      <w:pPr>
        <w:rPr>
          <w:rFonts w:cs="Times New Roman"/>
        </w:rPr>
      </w:pPr>
      <w:r>
        <w:rPr>
          <w:rFonts w:cs="Times New Roman"/>
          <w:color w:val="000000"/>
        </w:rPr>
        <w:t>Persons who are LGBTQ+ often are a historically underserved community. Recipients may consider the significant barriers and discrimination that persons who identify as LGBTQ+ face and consider ways to support underserved communities, such as LGBTQ+, with respect to their proposed NOFO activities.</w:t>
      </w:r>
    </w:p>
    <w:p w14:paraId="6BC9CD81" w14:textId="518152B8" w:rsidR="006B1538" w:rsidRPr="006B1538" w:rsidRDefault="00302663" w:rsidP="00C87CF0">
      <w:pPr>
        <w:pStyle w:val="Heading1"/>
        <w:ind w:left="360"/>
      </w:pPr>
      <w:r>
        <w:lastRenderedPageBreak/>
        <w:t xml:space="preserve">Waste, Fraud, Abuse, and </w:t>
      </w:r>
      <w:r w:rsidR="006B1538" w:rsidRPr="00C87CF0">
        <w:t xml:space="preserve">Whistleblower </w:t>
      </w:r>
      <w:r w:rsidR="00D61323">
        <w:t>P</w:t>
      </w:r>
      <w:r w:rsidR="006B1538" w:rsidRPr="00C87CF0">
        <w:t>rotections.</w:t>
      </w:r>
      <w:r w:rsidR="006B1538" w:rsidRPr="006B1538">
        <w:t xml:space="preserve"> </w:t>
      </w:r>
    </w:p>
    <w:p w14:paraId="2FC81359" w14:textId="24E1C3E7" w:rsidR="00AD7AF9" w:rsidRPr="00262BA1" w:rsidRDefault="00AD7AF9" w:rsidP="006B1538">
      <w:pPr>
        <w:rPr>
          <w:rFonts w:cs="Times New Roman"/>
          <w:color w:val="000000"/>
        </w:rPr>
      </w:pPr>
      <w:r w:rsidRPr="00262BA1">
        <w:rPr>
          <w:rFonts w:cs="Times New Roman"/>
          <w:color w:val="000000"/>
        </w:rPr>
        <w:t xml:space="preserve">Any person who becomes aware of the existence or apparent existence of fraud, waste or abuse of any HUD award must report such incidents to </w:t>
      </w:r>
      <w:r w:rsidR="00D43240">
        <w:rPr>
          <w:rFonts w:cs="Times New Roman"/>
          <w:color w:val="000000"/>
        </w:rPr>
        <w:t xml:space="preserve">both the HUD official </w:t>
      </w:r>
      <w:r w:rsidR="00E60ACD">
        <w:rPr>
          <w:rFonts w:cs="Times New Roman"/>
          <w:color w:val="000000"/>
        </w:rPr>
        <w:t xml:space="preserve">for </w:t>
      </w:r>
      <w:r w:rsidR="00D43240">
        <w:rPr>
          <w:rFonts w:cs="Times New Roman"/>
          <w:color w:val="000000"/>
        </w:rPr>
        <w:t xml:space="preserve">the </w:t>
      </w:r>
      <w:r w:rsidR="00E60ACD">
        <w:rPr>
          <w:rFonts w:cs="Times New Roman"/>
          <w:color w:val="000000"/>
        </w:rPr>
        <w:t xml:space="preserve">award and to </w:t>
      </w:r>
      <w:r w:rsidR="00CC0B47" w:rsidRPr="00262BA1">
        <w:rPr>
          <w:rFonts w:cs="Times New Roman"/>
          <w:color w:val="000000"/>
        </w:rPr>
        <w:t>HUD’s</w:t>
      </w:r>
      <w:r w:rsidRPr="00262BA1">
        <w:rPr>
          <w:rFonts w:cs="Times New Roman"/>
          <w:color w:val="000000"/>
        </w:rPr>
        <w:t> Office of Inspector General</w:t>
      </w:r>
      <w:r w:rsidR="00F90A47" w:rsidRPr="00262BA1">
        <w:rPr>
          <w:rFonts w:cs="Times New Roman"/>
          <w:color w:val="000000"/>
        </w:rPr>
        <w:t xml:space="preserve"> (OIG)</w:t>
      </w:r>
      <w:r w:rsidRPr="00262BA1">
        <w:rPr>
          <w:rFonts w:cs="Times New Roman"/>
          <w:color w:val="000000"/>
        </w:rPr>
        <w:t>.</w:t>
      </w:r>
      <w:r w:rsidR="00CC0B47" w:rsidRPr="00262BA1">
        <w:rPr>
          <w:rFonts w:cs="Times New Roman"/>
          <w:color w:val="000000"/>
        </w:rPr>
        <w:t xml:space="preserve"> </w:t>
      </w:r>
      <w:r w:rsidR="009B5F7A">
        <w:rPr>
          <w:rFonts w:cs="Times New Roman"/>
          <w:color w:val="000000"/>
        </w:rPr>
        <w:t xml:space="preserve">HUD’s OIG is available to receive allegations </w:t>
      </w:r>
      <w:r w:rsidR="00CC0B47" w:rsidRPr="00262BA1">
        <w:rPr>
          <w:rFonts w:cs="Times New Roman"/>
          <w:color w:val="000000"/>
        </w:rPr>
        <w:t>of fraud, waste, and abuse related to HUD programs</w:t>
      </w:r>
      <w:r w:rsidR="009B5F7A">
        <w:rPr>
          <w:rFonts w:cs="Times New Roman"/>
          <w:color w:val="000000"/>
        </w:rPr>
        <w:t xml:space="preserve"> via its </w:t>
      </w:r>
      <w:r w:rsidR="00CC0B47" w:rsidRPr="00262BA1">
        <w:rPr>
          <w:rFonts w:cs="Times New Roman"/>
          <w:color w:val="000000"/>
        </w:rPr>
        <w:t>hotline</w:t>
      </w:r>
      <w:r w:rsidR="009B5F7A">
        <w:rPr>
          <w:rFonts w:cs="Times New Roman"/>
          <w:color w:val="000000"/>
        </w:rPr>
        <w:t xml:space="preserve"> number </w:t>
      </w:r>
      <w:r w:rsidR="004806A6" w:rsidRPr="00981885">
        <w:rPr>
          <w:rFonts w:cs="Times New Roman"/>
          <w:color w:val="000000"/>
        </w:rPr>
        <w:t>(1-800-347-3735)</w:t>
      </w:r>
      <w:r w:rsidR="00C61421">
        <w:rPr>
          <w:rFonts w:cs="Times New Roman"/>
          <w:color w:val="000000"/>
        </w:rPr>
        <w:t xml:space="preserve"> </w:t>
      </w:r>
      <w:r w:rsidR="009B5F7A">
        <w:rPr>
          <w:rFonts w:cs="Times New Roman"/>
          <w:color w:val="000000"/>
        </w:rPr>
        <w:t xml:space="preserve">and </w:t>
      </w:r>
      <w:r w:rsidR="004806A6">
        <w:rPr>
          <w:rFonts w:cs="Times New Roman"/>
          <w:color w:val="000000"/>
        </w:rPr>
        <w:t xml:space="preserve">its online </w:t>
      </w:r>
      <w:hyperlink r:id="rId56" w:history="1">
        <w:r w:rsidR="004806A6" w:rsidRPr="004806A6">
          <w:rPr>
            <w:rStyle w:val="Hyperlink"/>
            <w:rFonts w:cs="Times New Roman"/>
          </w:rPr>
          <w:t>hotline form</w:t>
        </w:r>
      </w:hyperlink>
      <w:r w:rsidR="004806A6">
        <w:rPr>
          <w:rFonts w:cs="Times New Roman"/>
          <w:color w:val="000000"/>
        </w:rPr>
        <w:t>.</w:t>
      </w:r>
      <w:r w:rsidRPr="00262BA1">
        <w:rPr>
          <w:rFonts w:cs="Times New Roman"/>
          <w:color w:val="000000"/>
        </w:rPr>
        <w:t xml:space="preserve"> </w:t>
      </w:r>
    </w:p>
    <w:p w14:paraId="0FDDC092" w14:textId="27C06B95" w:rsidR="006B1538" w:rsidRPr="006B1538" w:rsidRDefault="006B1538" w:rsidP="006B1538">
      <w:pPr>
        <w:rPr>
          <w:rFonts w:cs="Times New Roman"/>
          <w:szCs w:val="24"/>
        </w:rPr>
      </w:pPr>
      <w:r w:rsidRPr="006B1538">
        <w:rPr>
          <w:rFonts w:cs="Times New Roman"/>
          <w:szCs w:val="24"/>
        </w:rPr>
        <w:t xml:space="preserve">You must comply with </w:t>
      </w:r>
      <w:hyperlink r:id="rId57" w:tgtFrame="_blank" w:history="1">
        <w:r w:rsidRPr="006B1538">
          <w:rPr>
            <w:rStyle w:val="Hyperlink"/>
            <w:rFonts w:cs="Times New Roman"/>
            <w:szCs w:val="24"/>
          </w:rPr>
          <w:t>10 U.S.C. 2409</w:t>
        </w:r>
      </w:hyperlink>
      <w:r w:rsidRPr="006B1538">
        <w:rPr>
          <w:rFonts w:cs="Times New Roman"/>
          <w:szCs w:val="24"/>
        </w:rPr>
        <w:t>, including the:</w:t>
      </w:r>
    </w:p>
    <w:p w14:paraId="4931605A" w14:textId="77777777" w:rsidR="006B1538" w:rsidRPr="006B1538" w:rsidRDefault="006B1538" w:rsidP="006B1538">
      <w:pPr>
        <w:rPr>
          <w:rFonts w:cs="Times New Roman"/>
          <w:szCs w:val="24"/>
        </w:rPr>
      </w:pPr>
      <w:r w:rsidRPr="006B1538">
        <w:rPr>
          <w:rFonts w:cs="Times New Roman"/>
          <w:szCs w:val="24"/>
        </w:rPr>
        <w:t>a. Prohibition on reprisals against employees disclosing certain types of information to specified persons or bodies; and</w:t>
      </w:r>
    </w:p>
    <w:p w14:paraId="064A4932" w14:textId="77777777" w:rsidR="006B1538" w:rsidRPr="006B1538" w:rsidRDefault="006B1538" w:rsidP="006B1538">
      <w:pPr>
        <w:rPr>
          <w:rFonts w:cs="Times New Roman"/>
          <w:szCs w:val="24"/>
        </w:rPr>
      </w:pPr>
      <w:r w:rsidRPr="006B1538">
        <w:rPr>
          <w:rFonts w:cs="Times New Roman"/>
          <w:szCs w:val="24"/>
        </w:rPr>
        <w:t>b. Requirement to notify your employees in writing, in the predominant native language of the workforce, of their rights and protections under that statute.</w:t>
      </w:r>
    </w:p>
    <w:p w14:paraId="7FB1771B" w14:textId="0020529D" w:rsidR="00E25D6A" w:rsidRPr="00262BA1" w:rsidRDefault="00E25D6A" w:rsidP="00E25D6A">
      <w:pPr>
        <w:rPr>
          <w:rFonts w:cs="Times New Roman"/>
          <w:color w:val="000000"/>
        </w:rPr>
      </w:pPr>
      <w:r w:rsidRPr="00E25D6A">
        <w:rPr>
          <w:rFonts w:cs="Times New Roman"/>
          <w:szCs w:val="24"/>
        </w:rPr>
        <w:t>Under</w:t>
      </w:r>
      <w:r w:rsidR="00032FD1" w:rsidRPr="00032FD1">
        <w:rPr>
          <w:rFonts w:cs="Times New Roman"/>
          <w:szCs w:val="24"/>
        </w:rPr>
        <w:t> </w:t>
      </w:r>
      <w:hyperlink r:id="rId58" w:tgtFrame="_blank" w:history="1">
        <w:r w:rsidR="00032FD1" w:rsidRPr="00032FD1">
          <w:rPr>
            <w:rStyle w:val="Hyperlink"/>
            <w:rFonts w:cs="Times New Roman"/>
            <w:szCs w:val="24"/>
          </w:rPr>
          <w:t>41 U.S.C. 4712</w:t>
        </w:r>
      </w:hyperlink>
      <w:r w:rsidRPr="00E25D6A">
        <w:rPr>
          <w:rFonts w:cs="Times New Roman"/>
          <w:szCs w:val="24"/>
        </w:rPr>
        <w:t xml:space="preserve">, </w:t>
      </w:r>
      <w:r w:rsidRPr="00262BA1">
        <w:rPr>
          <w:rFonts w:cs="Times New Roman"/>
          <w:color w:val="000000"/>
        </w:rPr>
        <w:t xml:space="preserve">employees of </w:t>
      </w:r>
      <w:r w:rsidR="00CA5121">
        <w:rPr>
          <w:rFonts w:cs="Times New Roman"/>
          <w:color w:val="000000"/>
        </w:rPr>
        <w:t xml:space="preserve">a </w:t>
      </w:r>
      <w:r w:rsidRPr="00262BA1">
        <w:rPr>
          <w:rFonts w:cs="Times New Roman"/>
          <w:color w:val="000000"/>
        </w:rPr>
        <w:t>Government contracto</w:t>
      </w:r>
      <w:r w:rsidR="00CA5121">
        <w:rPr>
          <w:rFonts w:cs="Times New Roman"/>
          <w:color w:val="000000"/>
        </w:rPr>
        <w:t>r</w:t>
      </w:r>
      <w:r w:rsidRPr="00262BA1">
        <w:rPr>
          <w:rFonts w:cs="Times New Roman"/>
          <w:color w:val="000000"/>
        </w:rPr>
        <w:t>, subcontractor, grantee, and subgrantee—as well as</w:t>
      </w:r>
      <w:r w:rsidR="00CA5121">
        <w:rPr>
          <w:rFonts w:cs="Times New Roman"/>
          <w:color w:val="000000"/>
        </w:rPr>
        <w:t xml:space="preserve"> a</w:t>
      </w:r>
      <w:r w:rsidRPr="00262BA1">
        <w:rPr>
          <w:rFonts w:cs="Times New Roman"/>
          <w:color w:val="000000"/>
        </w:rPr>
        <w:t xml:space="preserve"> personal services contractor—who make a protected disclosure about a Federal grant or contract cannot be discharged, demoted, or otherwise discriminated against as long as they reasonably believe the information they disclose is evidence of:</w:t>
      </w:r>
    </w:p>
    <w:p w14:paraId="56333062" w14:textId="77777777" w:rsidR="00E25D6A" w:rsidRPr="00262BA1" w:rsidRDefault="00E25D6A" w:rsidP="00E25D6A">
      <w:pPr>
        <w:rPr>
          <w:rFonts w:cs="Times New Roman"/>
          <w:color w:val="000000"/>
        </w:rPr>
      </w:pPr>
      <w:r w:rsidRPr="00262BA1">
        <w:rPr>
          <w:rFonts w:cs="Times New Roman"/>
          <w:color w:val="000000"/>
        </w:rPr>
        <w:t>Gross mismanagement of a Federal contract or grant.</w:t>
      </w:r>
    </w:p>
    <w:p w14:paraId="04D40DD3" w14:textId="77777777" w:rsidR="00E25D6A" w:rsidRPr="00262BA1" w:rsidRDefault="00E25D6A" w:rsidP="00262BA1">
      <w:pPr>
        <w:pStyle w:val="ListParagraph"/>
        <w:numPr>
          <w:ilvl w:val="0"/>
          <w:numId w:val="53"/>
        </w:numPr>
        <w:rPr>
          <w:rFonts w:cs="Times New Roman"/>
          <w:color w:val="000000"/>
        </w:rPr>
      </w:pPr>
      <w:r w:rsidRPr="00262BA1">
        <w:rPr>
          <w:rFonts w:cs="Times New Roman"/>
          <w:color w:val="000000"/>
        </w:rPr>
        <w:t>Waste of Federal funds.</w:t>
      </w:r>
    </w:p>
    <w:p w14:paraId="5623128C" w14:textId="77777777" w:rsidR="00E25D6A" w:rsidRPr="00262BA1" w:rsidRDefault="00E25D6A" w:rsidP="00262BA1">
      <w:pPr>
        <w:pStyle w:val="ListParagraph"/>
        <w:numPr>
          <w:ilvl w:val="0"/>
          <w:numId w:val="53"/>
        </w:numPr>
        <w:rPr>
          <w:rFonts w:cs="Times New Roman"/>
          <w:color w:val="000000"/>
        </w:rPr>
      </w:pPr>
      <w:r w:rsidRPr="00262BA1">
        <w:rPr>
          <w:rFonts w:cs="Times New Roman"/>
          <w:color w:val="000000"/>
        </w:rPr>
        <w:t>Abuse of authority relating to a Federal contract or grant.</w:t>
      </w:r>
    </w:p>
    <w:p w14:paraId="1A8B55DC" w14:textId="77777777" w:rsidR="00E25D6A" w:rsidRPr="00262BA1" w:rsidRDefault="00E25D6A" w:rsidP="00262BA1">
      <w:pPr>
        <w:pStyle w:val="ListParagraph"/>
        <w:numPr>
          <w:ilvl w:val="0"/>
          <w:numId w:val="53"/>
        </w:numPr>
        <w:rPr>
          <w:rFonts w:cs="Times New Roman"/>
          <w:color w:val="000000"/>
        </w:rPr>
      </w:pPr>
      <w:r w:rsidRPr="00262BA1">
        <w:rPr>
          <w:rFonts w:cs="Times New Roman"/>
          <w:color w:val="000000"/>
        </w:rPr>
        <w:t>Substantial and specific danger to public health and safety.</w:t>
      </w:r>
    </w:p>
    <w:p w14:paraId="4A8E762A" w14:textId="67C3460E" w:rsidR="006B1538" w:rsidRPr="00CE569E" w:rsidRDefault="00E25D6A" w:rsidP="00DF06DF">
      <w:pPr>
        <w:pStyle w:val="ListParagraph"/>
        <w:numPr>
          <w:ilvl w:val="0"/>
          <w:numId w:val="53"/>
        </w:numPr>
        <w:rPr>
          <w:rFonts w:cs="Times New Roman"/>
          <w:szCs w:val="24"/>
        </w:rPr>
      </w:pPr>
      <w:r w:rsidRPr="00CE569E">
        <w:rPr>
          <w:rFonts w:cs="Times New Roman"/>
          <w:color w:val="000000"/>
        </w:rPr>
        <w:t>Violations of any law, rule, or regulation related to a Federal contract or grant.</w:t>
      </w:r>
    </w:p>
    <w:sectPr w:rsidR="006B1538" w:rsidRPr="00CE569E" w:rsidSect="004D7AA0">
      <w:footerReference w:type="default" r:id="rId59"/>
      <w:pgSz w:w="12240" w:h="15840"/>
      <w:pgMar w:top="1380" w:right="1300" w:bottom="1260" w:left="1300" w:header="0" w:footer="106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044073" w14:textId="77777777" w:rsidR="003B01AC" w:rsidRDefault="003B01AC" w:rsidP="0079347C">
      <w:pPr>
        <w:spacing w:after="0"/>
      </w:pPr>
      <w:r>
        <w:separator/>
      </w:r>
    </w:p>
  </w:endnote>
  <w:endnote w:type="continuationSeparator" w:id="0">
    <w:p w14:paraId="72E93589" w14:textId="77777777" w:rsidR="003B01AC" w:rsidRDefault="003B01AC" w:rsidP="0079347C">
      <w:pPr>
        <w:spacing w:after="0"/>
      </w:pPr>
      <w:r>
        <w:continuationSeparator/>
      </w:r>
    </w:p>
  </w:endnote>
  <w:endnote w:type="continuationNotice" w:id="1">
    <w:p w14:paraId="5F9D561A" w14:textId="77777777" w:rsidR="003B01AC" w:rsidRDefault="003B01AC" w:rsidP="0079347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28AF29" w14:textId="7158318E" w:rsidR="00A57002" w:rsidRDefault="00CD4695" w:rsidP="004C7E73">
    <w:pPr>
      <w:pStyle w:val="Footer"/>
      <w:tabs>
        <w:tab w:val="clear" w:pos="4680"/>
        <w:tab w:val="clear" w:pos="9360"/>
        <w:tab w:val="left" w:pos="8460"/>
      </w:tabs>
      <w:jc w:val="center"/>
    </w:pPr>
    <w:r w:rsidRPr="00412319">
      <w:rPr>
        <w:noProof/>
        <w:sz w:val="16"/>
        <w:szCs w:val="16"/>
      </w:rPr>
      <w:t>rev.</w:t>
    </w:r>
    <w:r>
      <w:rPr>
        <w:noProof/>
        <w:sz w:val="16"/>
        <w:szCs w:val="16"/>
      </w:rPr>
      <w:t xml:space="preserve"> </w:t>
    </w:r>
    <w:r w:rsidR="00A9029D">
      <w:rPr>
        <w:noProof/>
        <w:sz w:val="16"/>
        <w:szCs w:val="16"/>
      </w:rPr>
      <w:t>3</w:t>
    </w:r>
    <w:r w:rsidRPr="00412319">
      <w:rPr>
        <w:noProof/>
        <w:sz w:val="16"/>
        <w:szCs w:val="16"/>
      </w:rPr>
      <w:t>/</w:t>
    </w:r>
    <w:r w:rsidR="00A9029D">
      <w:rPr>
        <w:noProof/>
        <w:sz w:val="16"/>
        <w:szCs w:val="16"/>
      </w:rPr>
      <w:t>30</w:t>
    </w:r>
    <w:r w:rsidRPr="00412319">
      <w:rPr>
        <w:noProof/>
        <w:sz w:val="16"/>
        <w:szCs w:val="16"/>
      </w:rPr>
      <w:t>/202</w:t>
    </w:r>
    <w:r w:rsidR="00A9029D">
      <w:rPr>
        <w:noProof/>
        <w:sz w:val="16"/>
        <w:szCs w:val="16"/>
      </w:rPr>
      <w:t>3</w:t>
    </w:r>
    <w:r>
      <w:t xml:space="preserve"> </w:t>
    </w:r>
    <w:r>
      <w:tab/>
    </w:r>
    <w:sdt>
      <w:sdtPr>
        <w:id w:val="414823772"/>
        <w:docPartObj>
          <w:docPartGallery w:val="Page Numbers (Bottom of Page)"/>
          <w:docPartUnique/>
        </w:docPartObj>
      </w:sdtPr>
      <w:sdtEndPr>
        <w:rPr>
          <w:noProof/>
        </w:rPr>
      </w:sdtEndPr>
      <w:sdtContent>
        <w:r w:rsidR="00EE2802">
          <w:fldChar w:fldCharType="begin"/>
        </w:r>
        <w:r w:rsidR="00EE2802">
          <w:instrText xml:space="preserve"> PAGE   \* MERGEFORMAT </w:instrText>
        </w:r>
        <w:r w:rsidR="00EE2802">
          <w:fldChar w:fldCharType="separate"/>
        </w:r>
        <w:r w:rsidR="00EE2802">
          <w:rPr>
            <w:noProof/>
          </w:rPr>
          <w:t>2</w:t>
        </w:r>
        <w:r w:rsidR="00EE2802">
          <w:rPr>
            <w:noProof/>
          </w:rPr>
          <w:fldChar w:fldCharType="end"/>
        </w:r>
        <w:r w:rsidR="00A36C30">
          <w:rPr>
            <w:noProof/>
          </w:rPr>
          <w:tab/>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2ED813" w14:textId="77777777" w:rsidR="003B01AC" w:rsidRDefault="003B01AC" w:rsidP="0079347C">
      <w:pPr>
        <w:spacing w:after="0"/>
      </w:pPr>
      <w:r>
        <w:separator/>
      </w:r>
    </w:p>
  </w:footnote>
  <w:footnote w:type="continuationSeparator" w:id="0">
    <w:p w14:paraId="789117CC" w14:textId="77777777" w:rsidR="003B01AC" w:rsidRDefault="003B01AC" w:rsidP="0079347C">
      <w:pPr>
        <w:spacing w:after="0"/>
      </w:pPr>
      <w:r>
        <w:continuationSeparator/>
      </w:r>
    </w:p>
  </w:footnote>
  <w:footnote w:type="continuationNotice" w:id="1">
    <w:p w14:paraId="61BE5066" w14:textId="77777777" w:rsidR="003B01AC" w:rsidRDefault="003B01AC" w:rsidP="0079347C">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163A2"/>
    <w:multiLevelType w:val="hybridMultilevel"/>
    <w:tmpl w:val="344A5F62"/>
    <w:lvl w:ilvl="0" w:tplc="730270A6">
      <w:start w:val="1"/>
      <w:numFmt w:val="upperLetter"/>
      <w:pStyle w:val="Heading2"/>
      <w:lvlText w:val="%1."/>
      <w:lvlJc w:val="left"/>
      <w:pPr>
        <w:ind w:left="720" w:hanging="36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C8336C5"/>
    <w:multiLevelType w:val="hybridMultilevel"/>
    <w:tmpl w:val="AED6DF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880CB7"/>
    <w:multiLevelType w:val="hybridMultilevel"/>
    <w:tmpl w:val="6B447DB6"/>
    <w:lvl w:ilvl="0" w:tplc="3038229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4A20FD"/>
    <w:multiLevelType w:val="hybridMultilevel"/>
    <w:tmpl w:val="58F65830"/>
    <w:lvl w:ilvl="0" w:tplc="87F2BDE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F45697"/>
    <w:multiLevelType w:val="multilevel"/>
    <w:tmpl w:val="44A49A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DD364AE"/>
    <w:multiLevelType w:val="hybridMultilevel"/>
    <w:tmpl w:val="51C8E5D8"/>
    <w:lvl w:ilvl="0" w:tplc="15663868">
      <w:start w:val="1"/>
      <w:numFmt w:val="decimal"/>
      <w:lvlText w:val="(%1)"/>
      <w:lvlJc w:val="left"/>
      <w:pPr>
        <w:ind w:left="780" w:hanging="360"/>
      </w:pPr>
      <w:rPr>
        <w:rFonts w:hint="default"/>
        <w:b/>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6" w15:restartNumberingAfterBreak="0">
    <w:nsid w:val="1F4130F6"/>
    <w:multiLevelType w:val="hybridMultilevel"/>
    <w:tmpl w:val="FE78FF2A"/>
    <w:lvl w:ilvl="0" w:tplc="EE9C97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AC184D"/>
    <w:multiLevelType w:val="hybridMultilevel"/>
    <w:tmpl w:val="DA7C5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E1426D"/>
    <w:multiLevelType w:val="hybridMultilevel"/>
    <w:tmpl w:val="C5FAADE0"/>
    <w:lvl w:ilvl="0" w:tplc="04090015">
      <w:start w:val="1"/>
      <w:numFmt w:val="upperLetter"/>
      <w:lvlText w:val="%1."/>
      <w:lvlJc w:val="left"/>
      <w:pPr>
        <w:ind w:left="720" w:hanging="36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3DF4173"/>
    <w:multiLevelType w:val="hybridMultilevel"/>
    <w:tmpl w:val="3C5875EC"/>
    <w:lvl w:ilvl="0" w:tplc="81F061AE">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2D23E0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1CAC08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C58723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DE45FD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5A02E4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9B457F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96840B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806BF6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35EF5681"/>
    <w:multiLevelType w:val="hybridMultilevel"/>
    <w:tmpl w:val="BB1A46F6"/>
    <w:lvl w:ilvl="0" w:tplc="B0B6D9C8">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498463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A78F51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5EEECF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1A4E8D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C7C6EF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D30145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B9E563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D4AE81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390E0097"/>
    <w:multiLevelType w:val="hybridMultilevel"/>
    <w:tmpl w:val="E022172A"/>
    <w:lvl w:ilvl="0" w:tplc="A99A146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A20127F"/>
    <w:multiLevelType w:val="hybridMultilevel"/>
    <w:tmpl w:val="8B22F88E"/>
    <w:lvl w:ilvl="0" w:tplc="18980042">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F1C1674">
      <w:start w:val="1"/>
      <w:numFmt w:val="bullet"/>
      <w:lvlText w:val="o"/>
      <w:lvlJc w:val="left"/>
      <w:pPr>
        <w:ind w:left="16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5F25940">
      <w:start w:val="1"/>
      <w:numFmt w:val="bullet"/>
      <w:lvlText w:val="▪"/>
      <w:lvlJc w:val="left"/>
      <w:pPr>
        <w:ind w:left="23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C946346">
      <w:start w:val="1"/>
      <w:numFmt w:val="bullet"/>
      <w:lvlText w:val="•"/>
      <w:lvlJc w:val="left"/>
      <w:pPr>
        <w:ind w:left="30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3D4D2BC">
      <w:start w:val="1"/>
      <w:numFmt w:val="bullet"/>
      <w:lvlText w:val="o"/>
      <w:lvlJc w:val="left"/>
      <w:pPr>
        <w:ind w:left="38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1EACEB4">
      <w:start w:val="1"/>
      <w:numFmt w:val="bullet"/>
      <w:lvlText w:val="▪"/>
      <w:lvlJc w:val="left"/>
      <w:pPr>
        <w:ind w:left="45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4D43B98">
      <w:start w:val="1"/>
      <w:numFmt w:val="bullet"/>
      <w:lvlText w:val="•"/>
      <w:lvlJc w:val="left"/>
      <w:pPr>
        <w:ind w:left="52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E0A9F0E">
      <w:start w:val="1"/>
      <w:numFmt w:val="bullet"/>
      <w:lvlText w:val="o"/>
      <w:lvlJc w:val="left"/>
      <w:pPr>
        <w:ind w:left="59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C6C1A6E">
      <w:start w:val="1"/>
      <w:numFmt w:val="bullet"/>
      <w:lvlText w:val="▪"/>
      <w:lvlJc w:val="left"/>
      <w:pPr>
        <w:ind w:left="66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3DE537C2"/>
    <w:multiLevelType w:val="hybridMultilevel"/>
    <w:tmpl w:val="AD7610B4"/>
    <w:lvl w:ilvl="0" w:tplc="3B5C896C">
      <w:start w:val="1"/>
      <w:numFmt w:val="decimal"/>
      <w:pStyle w:val="Heading1"/>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B0954CF"/>
    <w:multiLevelType w:val="hybridMultilevel"/>
    <w:tmpl w:val="AD4CD3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51D35D78"/>
    <w:multiLevelType w:val="hybridMultilevel"/>
    <w:tmpl w:val="06CC0BCA"/>
    <w:lvl w:ilvl="0" w:tplc="CF8CAA9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5D4342E"/>
    <w:multiLevelType w:val="hybridMultilevel"/>
    <w:tmpl w:val="75C45648"/>
    <w:lvl w:ilvl="0" w:tplc="9DD2EE0C">
      <w:start w:val="1"/>
      <w:numFmt w:val="lowerLetter"/>
      <w:lvlText w:val="%1."/>
      <w:lvlJc w:val="left"/>
      <w:pPr>
        <w:ind w:left="720" w:hanging="360"/>
      </w:pPr>
      <w:rPr>
        <w:rFonts w:eastAsiaTheme="majorEastAsia" w:cstheme="majorBid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31253E7"/>
    <w:multiLevelType w:val="hybridMultilevel"/>
    <w:tmpl w:val="2F44AC0A"/>
    <w:lvl w:ilvl="0" w:tplc="37CA9B9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3F30EF3"/>
    <w:multiLevelType w:val="hybridMultilevel"/>
    <w:tmpl w:val="7012D81C"/>
    <w:lvl w:ilvl="0" w:tplc="04090019">
      <w:start w:val="1"/>
      <w:numFmt w:val="lowerLetter"/>
      <w:lvlText w:val="%1."/>
      <w:lvlJc w:val="left"/>
      <w:pPr>
        <w:ind w:left="338"/>
      </w:pPr>
      <w:rPr>
        <w:b w:val="0"/>
        <w:i w:val="0"/>
        <w:strike w:val="0"/>
        <w:dstrike w:val="0"/>
        <w:color w:val="000000"/>
        <w:sz w:val="24"/>
        <w:szCs w:val="24"/>
        <w:u w:val="none" w:color="000000"/>
        <w:bdr w:val="none" w:sz="0" w:space="0" w:color="auto"/>
        <w:shd w:val="clear" w:color="auto" w:fill="auto"/>
        <w:vertAlign w:val="baseline"/>
      </w:rPr>
    </w:lvl>
    <w:lvl w:ilvl="1" w:tplc="A5009F3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F9AC0A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102213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AAED3C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BF4A6E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AE6328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618A1F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188A8B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7820458F"/>
    <w:multiLevelType w:val="hybridMultilevel"/>
    <w:tmpl w:val="8A904232"/>
    <w:lvl w:ilvl="0" w:tplc="20F4B32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D435279"/>
    <w:multiLevelType w:val="hybridMultilevel"/>
    <w:tmpl w:val="B5F85FB6"/>
    <w:lvl w:ilvl="0" w:tplc="AF94539C">
      <w:start w:val="1"/>
      <w:numFmt w:val="lowerLetter"/>
      <w:lvlText w:val="%1."/>
      <w:lvlJc w:val="left"/>
      <w:pPr>
        <w:ind w:left="720" w:hanging="360"/>
      </w:pPr>
      <w:rPr>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88815810">
    <w:abstractNumId w:val="7"/>
  </w:num>
  <w:num w:numId="2" w16cid:durableId="1135413776">
    <w:abstractNumId w:val="6"/>
  </w:num>
  <w:num w:numId="3" w16cid:durableId="1507791432">
    <w:abstractNumId w:val="9"/>
  </w:num>
  <w:num w:numId="4" w16cid:durableId="147212440">
    <w:abstractNumId w:val="18"/>
  </w:num>
  <w:num w:numId="5" w16cid:durableId="700739906">
    <w:abstractNumId w:val="12"/>
  </w:num>
  <w:num w:numId="6" w16cid:durableId="1393960977">
    <w:abstractNumId w:val="10"/>
  </w:num>
  <w:num w:numId="7" w16cid:durableId="358241490">
    <w:abstractNumId w:val="13"/>
  </w:num>
  <w:num w:numId="8" w16cid:durableId="1546520547">
    <w:abstractNumId w:val="13"/>
  </w:num>
  <w:num w:numId="9" w16cid:durableId="602151871">
    <w:abstractNumId w:val="13"/>
  </w:num>
  <w:num w:numId="10" w16cid:durableId="2073770280">
    <w:abstractNumId w:val="13"/>
  </w:num>
  <w:num w:numId="11" w16cid:durableId="603853336">
    <w:abstractNumId w:val="13"/>
  </w:num>
  <w:num w:numId="12" w16cid:durableId="632562458">
    <w:abstractNumId w:val="13"/>
  </w:num>
  <w:num w:numId="13" w16cid:durableId="223834092">
    <w:abstractNumId w:val="13"/>
  </w:num>
  <w:num w:numId="14" w16cid:durableId="627126466">
    <w:abstractNumId w:val="13"/>
  </w:num>
  <w:num w:numId="15" w16cid:durableId="245461455">
    <w:abstractNumId w:val="13"/>
  </w:num>
  <w:num w:numId="16" w16cid:durableId="1498034845">
    <w:abstractNumId w:val="13"/>
  </w:num>
  <w:num w:numId="17" w16cid:durableId="140848137">
    <w:abstractNumId w:val="13"/>
  </w:num>
  <w:num w:numId="18" w16cid:durableId="773209119">
    <w:abstractNumId w:val="13"/>
  </w:num>
  <w:num w:numId="19" w16cid:durableId="1308051241">
    <w:abstractNumId w:val="13"/>
  </w:num>
  <w:num w:numId="20" w16cid:durableId="261954460">
    <w:abstractNumId w:val="13"/>
  </w:num>
  <w:num w:numId="21" w16cid:durableId="1213541564">
    <w:abstractNumId w:val="13"/>
  </w:num>
  <w:num w:numId="22" w16cid:durableId="452485477">
    <w:abstractNumId w:val="13"/>
  </w:num>
  <w:num w:numId="23" w16cid:durableId="676075160">
    <w:abstractNumId w:val="13"/>
  </w:num>
  <w:num w:numId="24" w16cid:durableId="2135053959">
    <w:abstractNumId w:val="13"/>
  </w:num>
  <w:num w:numId="25" w16cid:durableId="1021930194">
    <w:abstractNumId w:val="13"/>
  </w:num>
  <w:num w:numId="26" w16cid:durableId="1099569715">
    <w:abstractNumId w:val="13"/>
  </w:num>
  <w:num w:numId="27" w16cid:durableId="759985840">
    <w:abstractNumId w:val="20"/>
  </w:num>
  <w:num w:numId="28" w16cid:durableId="1667902283">
    <w:abstractNumId w:val="20"/>
  </w:num>
  <w:num w:numId="29" w16cid:durableId="43411524">
    <w:abstractNumId w:val="20"/>
  </w:num>
  <w:num w:numId="30" w16cid:durableId="537743487">
    <w:abstractNumId w:val="20"/>
  </w:num>
  <w:num w:numId="31" w16cid:durableId="1369066920">
    <w:abstractNumId w:val="20"/>
  </w:num>
  <w:num w:numId="32" w16cid:durableId="410389990">
    <w:abstractNumId w:val="11"/>
  </w:num>
  <w:num w:numId="33" w16cid:durableId="1696078635">
    <w:abstractNumId w:val="13"/>
  </w:num>
  <w:num w:numId="34" w16cid:durableId="1263340659">
    <w:abstractNumId w:val="13"/>
  </w:num>
  <w:num w:numId="35" w16cid:durableId="363408776">
    <w:abstractNumId w:val="0"/>
  </w:num>
  <w:num w:numId="36" w16cid:durableId="535314852">
    <w:abstractNumId w:val="8"/>
  </w:num>
  <w:num w:numId="37" w16cid:durableId="1028260194">
    <w:abstractNumId w:val="3"/>
  </w:num>
  <w:num w:numId="38" w16cid:durableId="1581518853">
    <w:abstractNumId w:val="0"/>
    <w:lvlOverride w:ilvl="0">
      <w:startOverride w:val="1"/>
    </w:lvlOverride>
  </w:num>
  <w:num w:numId="39" w16cid:durableId="1426922065">
    <w:abstractNumId w:val="14"/>
  </w:num>
  <w:num w:numId="40" w16cid:durableId="2010518999">
    <w:abstractNumId w:val="5"/>
  </w:num>
  <w:num w:numId="41" w16cid:durableId="1569804980">
    <w:abstractNumId w:val="16"/>
  </w:num>
  <w:num w:numId="42" w16cid:durableId="1773548208">
    <w:abstractNumId w:val="0"/>
    <w:lvlOverride w:ilvl="0">
      <w:startOverride w:val="1"/>
    </w:lvlOverride>
  </w:num>
  <w:num w:numId="43" w16cid:durableId="887766487">
    <w:abstractNumId w:val="2"/>
  </w:num>
  <w:num w:numId="44" w16cid:durableId="1028333787">
    <w:abstractNumId w:val="17"/>
  </w:num>
  <w:num w:numId="45" w16cid:durableId="1282764839">
    <w:abstractNumId w:val="15"/>
  </w:num>
  <w:num w:numId="46" w16cid:durableId="22635550">
    <w:abstractNumId w:val="19"/>
  </w:num>
  <w:num w:numId="47" w16cid:durableId="910040844">
    <w:abstractNumId w:val="13"/>
  </w:num>
  <w:num w:numId="48" w16cid:durableId="1021080225">
    <w:abstractNumId w:val="13"/>
  </w:num>
  <w:num w:numId="49" w16cid:durableId="1926528073">
    <w:abstractNumId w:val="0"/>
  </w:num>
  <w:num w:numId="50" w16cid:durableId="2054188325">
    <w:abstractNumId w:val="0"/>
  </w:num>
  <w:num w:numId="51" w16cid:durableId="1904438397">
    <w:abstractNumId w:val="0"/>
  </w:num>
  <w:num w:numId="52" w16cid:durableId="198594231">
    <w:abstractNumId w:val="4"/>
  </w:num>
  <w:num w:numId="53" w16cid:durableId="1145508641">
    <w:abstractNumId w:val="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9"/>
  <w:removePersonalInformation/>
  <w:removeDateAndTime/>
  <w:proofState w:spelling="clean" w:grammar="clean"/>
  <w:documentProtection w:edit="readOnly" w:enforcement="1" w:cryptProviderType="rsaAES" w:cryptAlgorithmClass="hash" w:cryptAlgorithmType="typeAny" w:cryptAlgorithmSid="14" w:cryptSpinCount="100000" w:hash="ujP39I1k7BxO+MHeqRhc7s7h1D7JPDtXbGpx+tfFA+YxWbJvi+dbQ6kpyBQQL1zlzjw0OZf1dl7upDnly5Cd7w==" w:salt="qSyNEmL7+xmkPmxd9JSzd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CITRUS_JURISDICTION" w:val="Bluebook"/>
    <w:docVar w:name="CITRUS_DOC_GUID" w:val="{AC918BC4-2796-4544-8A45-3EAE5ECB7748}"/>
  </w:docVars>
  <w:rsids>
    <w:rsidRoot w:val="00D920C4"/>
    <w:rsid w:val="0000034C"/>
    <w:rsid w:val="00002231"/>
    <w:rsid w:val="00002BD5"/>
    <w:rsid w:val="00002FA4"/>
    <w:rsid w:val="0000386C"/>
    <w:rsid w:val="00003EA8"/>
    <w:rsid w:val="00004748"/>
    <w:rsid w:val="00004E9E"/>
    <w:rsid w:val="00005B75"/>
    <w:rsid w:val="00007365"/>
    <w:rsid w:val="00007581"/>
    <w:rsid w:val="000079C9"/>
    <w:rsid w:val="0001016A"/>
    <w:rsid w:val="000106C6"/>
    <w:rsid w:val="0001076B"/>
    <w:rsid w:val="000116F8"/>
    <w:rsid w:val="0001237B"/>
    <w:rsid w:val="00013274"/>
    <w:rsid w:val="000137A0"/>
    <w:rsid w:val="000140D3"/>
    <w:rsid w:val="00014471"/>
    <w:rsid w:val="00014F57"/>
    <w:rsid w:val="00015063"/>
    <w:rsid w:val="00015CBB"/>
    <w:rsid w:val="0001608B"/>
    <w:rsid w:val="000169CA"/>
    <w:rsid w:val="00016A30"/>
    <w:rsid w:val="00021846"/>
    <w:rsid w:val="00021FBD"/>
    <w:rsid w:val="000237EC"/>
    <w:rsid w:val="00024557"/>
    <w:rsid w:val="000258B5"/>
    <w:rsid w:val="0002596A"/>
    <w:rsid w:val="00025D7A"/>
    <w:rsid w:val="000265D0"/>
    <w:rsid w:val="00026A9D"/>
    <w:rsid w:val="0002710E"/>
    <w:rsid w:val="0003106C"/>
    <w:rsid w:val="000311F3"/>
    <w:rsid w:val="00031399"/>
    <w:rsid w:val="00032943"/>
    <w:rsid w:val="00032FD1"/>
    <w:rsid w:val="000333A4"/>
    <w:rsid w:val="00033CD6"/>
    <w:rsid w:val="000341EB"/>
    <w:rsid w:val="000345E2"/>
    <w:rsid w:val="00036498"/>
    <w:rsid w:val="00036BB1"/>
    <w:rsid w:val="0004078D"/>
    <w:rsid w:val="00040B60"/>
    <w:rsid w:val="00040CAD"/>
    <w:rsid w:val="00040EEA"/>
    <w:rsid w:val="00041F83"/>
    <w:rsid w:val="00042609"/>
    <w:rsid w:val="00046257"/>
    <w:rsid w:val="00046DA8"/>
    <w:rsid w:val="00046FCB"/>
    <w:rsid w:val="000475B2"/>
    <w:rsid w:val="00047CCE"/>
    <w:rsid w:val="00047DDA"/>
    <w:rsid w:val="00050E88"/>
    <w:rsid w:val="00053311"/>
    <w:rsid w:val="00053A46"/>
    <w:rsid w:val="00053FFF"/>
    <w:rsid w:val="00055AF6"/>
    <w:rsid w:val="00057DD0"/>
    <w:rsid w:val="0006008D"/>
    <w:rsid w:val="00060C33"/>
    <w:rsid w:val="00060D99"/>
    <w:rsid w:val="00067F7B"/>
    <w:rsid w:val="000702A8"/>
    <w:rsid w:val="00070FDA"/>
    <w:rsid w:val="000715F3"/>
    <w:rsid w:val="0007180A"/>
    <w:rsid w:val="00072219"/>
    <w:rsid w:val="000731C7"/>
    <w:rsid w:val="00073968"/>
    <w:rsid w:val="0007488C"/>
    <w:rsid w:val="00075E37"/>
    <w:rsid w:val="00075F89"/>
    <w:rsid w:val="00077ECF"/>
    <w:rsid w:val="000802E7"/>
    <w:rsid w:val="00080718"/>
    <w:rsid w:val="000814A4"/>
    <w:rsid w:val="00082080"/>
    <w:rsid w:val="000830EA"/>
    <w:rsid w:val="00083878"/>
    <w:rsid w:val="00083959"/>
    <w:rsid w:val="00084059"/>
    <w:rsid w:val="00084F61"/>
    <w:rsid w:val="0008665A"/>
    <w:rsid w:val="000869D2"/>
    <w:rsid w:val="000871C3"/>
    <w:rsid w:val="00090C49"/>
    <w:rsid w:val="0009193D"/>
    <w:rsid w:val="00091C4E"/>
    <w:rsid w:val="00092529"/>
    <w:rsid w:val="000925BB"/>
    <w:rsid w:val="0009279B"/>
    <w:rsid w:val="00092B05"/>
    <w:rsid w:val="00093382"/>
    <w:rsid w:val="00093EFE"/>
    <w:rsid w:val="00094E9D"/>
    <w:rsid w:val="00095C3B"/>
    <w:rsid w:val="000A0AAB"/>
    <w:rsid w:val="000A0E1F"/>
    <w:rsid w:val="000A28E8"/>
    <w:rsid w:val="000A3911"/>
    <w:rsid w:val="000A3C60"/>
    <w:rsid w:val="000A4CA1"/>
    <w:rsid w:val="000A6EAF"/>
    <w:rsid w:val="000A6FA8"/>
    <w:rsid w:val="000A7067"/>
    <w:rsid w:val="000A7D6C"/>
    <w:rsid w:val="000A7FBF"/>
    <w:rsid w:val="000B05C5"/>
    <w:rsid w:val="000B0D99"/>
    <w:rsid w:val="000B0E07"/>
    <w:rsid w:val="000B1C80"/>
    <w:rsid w:val="000B1F90"/>
    <w:rsid w:val="000B3D7C"/>
    <w:rsid w:val="000B4769"/>
    <w:rsid w:val="000B4E43"/>
    <w:rsid w:val="000B555C"/>
    <w:rsid w:val="000B6148"/>
    <w:rsid w:val="000B63F8"/>
    <w:rsid w:val="000B7495"/>
    <w:rsid w:val="000B7715"/>
    <w:rsid w:val="000B7B69"/>
    <w:rsid w:val="000C04BD"/>
    <w:rsid w:val="000C10BF"/>
    <w:rsid w:val="000C30FA"/>
    <w:rsid w:val="000C323C"/>
    <w:rsid w:val="000C6194"/>
    <w:rsid w:val="000C6528"/>
    <w:rsid w:val="000C69F0"/>
    <w:rsid w:val="000D0570"/>
    <w:rsid w:val="000D13ED"/>
    <w:rsid w:val="000D142C"/>
    <w:rsid w:val="000D2CFF"/>
    <w:rsid w:val="000D3A95"/>
    <w:rsid w:val="000D4DF7"/>
    <w:rsid w:val="000D59EA"/>
    <w:rsid w:val="000D5B2E"/>
    <w:rsid w:val="000D5E03"/>
    <w:rsid w:val="000D6602"/>
    <w:rsid w:val="000D697A"/>
    <w:rsid w:val="000D7A8C"/>
    <w:rsid w:val="000D7F15"/>
    <w:rsid w:val="000E11C4"/>
    <w:rsid w:val="000E1220"/>
    <w:rsid w:val="000E1C5C"/>
    <w:rsid w:val="000E20FB"/>
    <w:rsid w:val="000E431E"/>
    <w:rsid w:val="000E4E9A"/>
    <w:rsid w:val="000E7F72"/>
    <w:rsid w:val="000F09C6"/>
    <w:rsid w:val="000F109A"/>
    <w:rsid w:val="000F15AF"/>
    <w:rsid w:val="000F1FB6"/>
    <w:rsid w:val="000F2018"/>
    <w:rsid w:val="000F40B7"/>
    <w:rsid w:val="000F47EA"/>
    <w:rsid w:val="000F62A1"/>
    <w:rsid w:val="000F6781"/>
    <w:rsid w:val="000F6866"/>
    <w:rsid w:val="000F73EF"/>
    <w:rsid w:val="001009F0"/>
    <w:rsid w:val="001030E6"/>
    <w:rsid w:val="0010310E"/>
    <w:rsid w:val="00103FDA"/>
    <w:rsid w:val="001061BD"/>
    <w:rsid w:val="00106C8A"/>
    <w:rsid w:val="00110CDF"/>
    <w:rsid w:val="00111C9B"/>
    <w:rsid w:val="00111C9F"/>
    <w:rsid w:val="00112187"/>
    <w:rsid w:val="00113C7F"/>
    <w:rsid w:val="001154D4"/>
    <w:rsid w:val="00115BDD"/>
    <w:rsid w:val="0012030F"/>
    <w:rsid w:val="00120D7A"/>
    <w:rsid w:val="00121249"/>
    <w:rsid w:val="0012150D"/>
    <w:rsid w:val="00121BA8"/>
    <w:rsid w:val="00122DA1"/>
    <w:rsid w:val="00123CF6"/>
    <w:rsid w:val="00124B85"/>
    <w:rsid w:val="00125F57"/>
    <w:rsid w:val="001270FA"/>
    <w:rsid w:val="001275E9"/>
    <w:rsid w:val="00131D3B"/>
    <w:rsid w:val="00131FAE"/>
    <w:rsid w:val="0013259E"/>
    <w:rsid w:val="00133605"/>
    <w:rsid w:val="001355D8"/>
    <w:rsid w:val="0013576F"/>
    <w:rsid w:val="00136E34"/>
    <w:rsid w:val="00136F1F"/>
    <w:rsid w:val="001372BC"/>
    <w:rsid w:val="00140343"/>
    <w:rsid w:val="00142DCC"/>
    <w:rsid w:val="00143A64"/>
    <w:rsid w:val="0014481C"/>
    <w:rsid w:val="00146BAB"/>
    <w:rsid w:val="00146C26"/>
    <w:rsid w:val="00146DC6"/>
    <w:rsid w:val="0014713F"/>
    <w:rsid w:val="001479C2"/>
    <w:rsid w:val="00151704"/>
    <w:rsid w:val="00151845"/>
    <w:rsid w:val="00153F29"/>
    <w:rsid w:val="00155A0A"/>
    <w:rsid w:val="00156864"/>
    <w:rsid w:val="0015696D"/>
    <w:rsid w:val="00160692"/>
    <w:rsid w:val="001608D6"/>
    <w:rsid w:val="001617C2"/>
    <w:rsid w:val="00162DEC"/>
    <w:rsid w:val="00164E76"/>
    <w:rsid w:val="001654F6"/>
    <w:rsid w:val="00165DFF"/>
    <w:rsid w:val="0016740E"/>
    <w:rsid w:val="0017014B"/>
    <w:rsid w:val="00171F18"/>
    <w:rsid w:val="00172352"/>
    <w:rsid w:val="00172922"/>
    <w:rsid w:val="001739DF"/>
    <w:rsid w:val="0017530D"/>
    <w:rsid w:val="001757C1"/>
    <w:rsid w:val="001758A1"/>
    <w:rsid w:val="00175966"/>
    <w:rsid w:val="00176531"/>
    <w:rsid w:val="00176BB7"/>
    <w:rsid w:val="001778CF"/>
    <w:rsid w:val="00180478"/>
    <w:rsid w:val="00180ACB"/>
    <w:rsid w:val="00181000"/>
    <w:rsid w:val="00181BB8"/>
    <w:rsid w:val="0018286C"/>
    <w:rsid w:val="00182A15"/>
    <w:rsid w:val="00182A26"/>
    <w:rsid w:val="00182BD1"/>
    <w:rsid w:val="0018370E"/>
    <w:rsid w:val="00183B79"/>
    <w:rsid w:val="001853A2"/>
    <w:rsid w:val="00185F3C"/>
    <w:rsid w:val="0018613E"/>
    <w:rsid w:val="00187C10"/>
    <w:rsid w:val="0019381B"/>
    <w:rsid w:val="001959C5"/>
    <w:rsid w:val="001967F6"/>
    <w:rsid w:val="0019709D"/>
    <w:rsid w:val="0019722B"/>
    <w:rsid w:val="00197582"/>
    <w:rsid w:val="001A0DEF"/>
    <w:rsid w:val="001A139D"/>
    <w:rsid w:val="001A1B18"/>
    <w:rsid w:val="001A28AC"/>
    <w:rsid w:val="001A2F35"/>
    <w:rsid w:val="001A4535"/>
    <w:rsid w:val="001A4C04"/>
    <w:rsid w:val="001A4DED"/>
    <w:rsid w:val="001A5BB3"/>
    <w:rsid w:val="001A616C"/>
    <w:rsid w:val="001A7880"/>
    <w:rsid w:val="001A7F09"/>
    <w:rsid w:val="001B03F6"/>
    <w:rsid w:val="001B0DC3"/>
    <w:rsid w:val="001B236F"/>
    <w:rsid w:val="001B272E"/>
    <w:rsid w:val="001B3C4F"/>
    <w:rsid w:val="001B5368"/>
    <w:rsid w:val="001B5399"/>
    <w:rsid w:val="001B5BB3"/>
    <w:rsid w:val="001B6052"/>
    <w:rsid w:val="001C0DD3"/>
    <w:rsid w:val="001C202D"/>
    <w:rsid w:val="001C2AC9"/>
    <w:rsid w:val="001C2F36"/>
    <w:rsid w:val="001C3009"/>
    <w:rsid w:val="001C39DB"/>
    <w:rsid w:val="001C435E"/>
    <w:rsid w:val="001C4A20"/>
    <w:rsid w:val="001C77DF"/>
    <w:rsid w:val="001C7F70"/>
    <w:rsid w:val="001D074A"/>
    <w:rsid w:val="001D09A8"/>
    <w:rsid w:val="001D0F36"/>
    <w:rsid w:val="001D12D0"/>
    <w:rsid w:val="001D1342"/>
    <w:rsid w:val="001D19C9"/>
    <w:rsid w:val="001D22F7"/>
    <w:rsid w:val="001D55B5"/>
    <w:rsid w:val="001D578E"/>
    <w:rsid w:val="001D5CF3"/>
    <w:rsid w:val="001D6386"/>
    <w:rsid w:val="001D7C9A"/>
    <w:rsid w:val="001E02CB"/>
    <w:rsid w:val="001E0E94"/>
    <w:rsid w:val="001E2916"/>
    <w:rsid w:val="001E3B6C"/>
    <w:rsid w:val="001E5D64"/>
    <w:rsid w:val="001E62CE"/>
    <w:rsid w:val="001E6CCE"/>
    <w:rsid w:val="001E7294"/>
    <w:rsid w:val="001E7377"/>
    <w:rsid w:val="001E7936"/>
    <w:rsid w:val="001F0412"/>
    <w:rsid w:val="001F08C3"/>
    <w:rsid w:val="001F2B8D"/>
    <w:rsid w:val="001F3655"/>
    <w:rsid w:val="001F3BA5"/>
    <w:rsid w:val="001F3E00"/>
    <w:rsid w:val="001F507E"/>
    <w:rsid w:val="001F5852"/>
    <w:rsid w:val="002005C1"/>
    <w:rsid w:val="00200E37"/>
    <w:rsid w:val="0020134C"/>
    <w:rsid w:val="00201B5C"/>
    <w:rsid w:val="0020241D"/>
    <w:rsid w:val="00202A5C"/>
    <w:rsid w:val="00202C49"/>
    <w:rsid w:val="00204E2C"/>
    <w:rsid w:val="00205270"/>
    <w:rsid w:val="00206503"/>
    <w:rsid w:val="00211CEE"/>
    <w:rsid w:val="00212012"/>
    <w:rsid w:val="00212A2C"/>
    <w:rsid w:val="00215916"/>
    <w:rsid w:val="00220A69"/>
    <w:rsid w:val="00221144"/>
    <w:rsid w:val="00221BE2"/>
    <w:rsid w:val="00221C43"/>
    <w:rsid w:val="0022369F"/>
    <w:rsid w:val="00224573"/>
    <w:rsid w:val="00224683"/>
    <w:rsid w:val="00225DEE"/>
    <w:rsid w:val="002305C6"/>
    <w:rsid w:val="00232732"/>
    <w:rsid w:val="002333E4"/>
    <w:rsid w:val="00233A90"/>
    <w:rsid w:val="00234AB5"/>
    <w:rsid w:val="00234F1D"/>
    <w:rsid w:val="0023631F"/>
    <w:rsid w:val="00236394"/>
    <w:rsid w:val="002364EE"/>
    <w:rsid w:val="00236CCC"/>
    <w:rsid w:val="00237169"/>
    <w:rsid w:val="00237752"/>
    <w:rsid w:val="002379FD"/>
    <w:rsid w:val="002401DE"/>
    <w:rsid w:val="00240B51"/>
    <w:rsid w:val="00241DE8"/>
    <w:rsid w:val="00242456"/>
    <w:rsid w:val="002442A3"/>
    <w:rsid w:val="00244434"/>
    <w:rsid w:val="00244CFC"/>
    <w:rsid w:val="0024631F"/>
    <w:rsid w:val="00246B7E"/>
    <w:rsid w:val="00246CD1"/>
    <w:rsid w:val="00246E69"/>
    <w:rsid w:val="002470B1"/>
    <w:rsid w:val="002508F7"/>
    <w:rsid w:val="00253D4B"/>
    <w:rsid w:val="002549F1"/>
    <w:rsid w:val="00256079"/>
    <w:rsid w:val="00256206"/>
    <w:rsid w:val="00256216"/>
    <w:rsid w:val="002567DE"/>
    <w:rsid w:val="002613DC"/>
    <w:rsid w:val="00262BA1"/>
    <w:rsid w:val="00263277"/>
    <w:rsid w:val="00264401"/>
    <w:rsid w:val="002647C1"/>
    <w:rsid w:val="00264EFC"/>
    <w:rsid w:val="00265106"/>
    <w:rsid w:val="002653EB"/>
    <w:rsid w:val="00265C0D"/>
    <w:rsid w:val="00265C87"/>
    <w:rsid w:val="00265DFD"/>
    <w:rsid w:val="00267212"/>
    <w:rsid w:val="00270E62"/>
    <w:rsid w:val="00271290"/>
    <w:rsid w:val="00271C80"/>
    <w:rsid w:val="00272E39"/>
    <w:rsid w:val="00273359"/>
    <w:rsid w:val="0027346D"/>
    <w:rsid w:val="0027349B"/>
    <w:rsid w:val="002745E2"/>
    <w:rsid w:val="00274D84"/>
    <w:rsid w:val="00275232"/>
    <w:rsid w:val="00275B88"/>
    <w:rsid w:val="00276F12"/>
    <w:rsid w:val="002771A3"/>
    <w:rsid w:val="0028014A"/>
    <w:rsid w:val="0028025A"/>
    <w:rsid w:val="002804F8"/>
    <w:rsid w:val="00281B9B"/>
    <w:rsid w:val="0028203E"/>
    <w:rsid w:val="002820BC"/>
    <w:rsid w:val="00282F78"/>
    <w:rsid w:val="002838E7"/>
    <w:rsid w:val="00283AE5"/>
    <w:rsid w:val="00283C56"/>
    <w:rsid w:val="00284A33"/>
    <w:rsid w:val="00284C3E"/>
    <w:rsid w:val="00285976"/>
    <w:rsid w:val="002904DD"/>
    <w:rsid w:val="00290A94"/>
    <w:rsid w:val="0029194C"/>
    <w:rsid w:val="00291E37"/>
    <w:rsid w:val="002927A1"/>
    <w:rsid w:val="00292B9A"/>
    <w:rsid w:val="00292D4B"/>
    <w:rsid w:val="00293101"/>
    <w:rsid w:val="00294559"/>
    <w:rsid w:val="00294F6C"/>
    <w:rsid w:val="002960F9"/>
    <w:rsid w:val="00297D5D"/>
    <w:rsid w:val="002A057E"/>
    <w:rsid w:val="002A064C"/>
    <w:rsid w:val="002A0B05"/>
    <w:rsid w:val="002A0CA2"/>
    <w:rsid w:val="002A0ED9"/>
    <w:rsid w:val="002A1032"/>
    <w:rsid w:val="002A1283"/>
    <w:rsid w:val="002A17AC"/>
    <w:rsid w:val="002A4A87"/>
    <w:rsid w:val="002A4F8B"/>
    <w:rsid w:val="002A671D"/>
    <w:rsid w:val="002A77A9"/>
    <w:rsid w:val="002B0973"/>
    <w:rsid w:val="002B130B"/>
    <w:rsid w:val="002B226D"/>
    <w:rsid w:val="002B33C1"/>
    <w:rsid w:val="002B3C41"/>
    <w:rsid w:val="002B6354"/>
    <w:rsid w:val="002C2461"/>
    <w:rsid w:val="002C2709"/>
    <w:rsid w:val="002C3837"/>
    <w:rsid w:val="002C3C98"/>
    <w:rsid w:val="002C4807"/>
    <w:rsid w:val="002C4D2A"/>
    <w:rsid w:val="002C5707"/>
    <w:rsid w:val="002C641E"/>
    <w:rsid w:val="002C6BCC"/>
    <w:rsid w:val="002C7820"/>
    <w:rsid w:val="002D0164"/>
    <w:rsid w:val="002D082D"/>
    <w:rsid w:val="002D20F6"/>
    <w:rsid w:val="002D21A6"/>
    <w:rsid w:val="002D3608"/>
    <w:rsid w:val="002D47DD"/>
    <w:rsid w:val="002D4F6D"/>
    <w:rsid w:val="002D5DD8"/>
    <w:rsid w:val="002D788D"/>
    <w:rsid w:val="002D7985"/>
    <w:rsid w:val="002D7D3A"/>
    <w:rsid w:val="002E010B"/>
    <w:rsid w:val="002E1156"/>
    <w:rsid w:val="002E15C0"/>
    <w:rsid w:val="002E1996"/>
    <w:rsid w:val="002E1B33"/>
    <w:rsid w:val="002E2499"/>
    <w:rsid w:val="002E4692"/>
    <w:rsid w:val="002E5BEE"/>
    <w:rsid w:val="002E6174"/>
    <w:rsid w:val="002E66DF"/>
    <w:rsid w:val="002E6D14"/>
    <w:rsid w:val="002F05A3"/>
    <w:rsid w:val="002F156B"/>
    <w:rsid w:val="002F1A69"/>
    <w:rsid w:val="002F1AA8"/>
    <w:rsid w:val="002F1D0A"/>
    <w:rsid w:val="002F477F"/>
    <w:rsid w:val="002F485B"/>
    <w:rsid w:val="002F5D46"/>
    <w:rsid w:val="002F6CD5"/>
    <w:rsid w:val="0030040A"/>
    <w:rsid w:val="00301059"/>
    <w:rsid w:val="0030221A"/>
    <w:rsid w:val="00302663"/>
    <w:rsid w:val="00303C9E"/>
    <w:rsid w:val="00304141"/>
    <w:rsid w:val="00305B41"/>
    <w:rsid w:val="00306154"/>
    <w:rsid w:val="00306761"/>
    <w:rsid w:val="00306BDF"/>
    <w:rsid w:val="0030729C"/>
    <w:rsid w:val="0030763E"/>
    <w:rsid w:val="0031060B"/>
    <w:rsid w:val="003109AA"/>
    <w:rsid w:val="00310D5C"/>
    <w:rsid w:val="003118B2"/>
    <w:rsid w:val="003122FD"/>
    <w:rsid w:val="003124DF"/>
    <w:rsid w:val="003131CF"/>
    <w:rsid w:val="003136B6"/>
    <w:rsid w:val="003160AC"/>
    <w:rsid w:val="0031646D"/>
    <w:rsid w:val="0031742F"/>
    <w:rsid w:val="00317AE6"/>
    <w:rsid w:val="003205CE"/>
    <w:rsid w:val="003211A5"/>
    <w:rsid w:val="003232A7"/>
    <w:rsid w:val="0032366E"/>
    <w:rsid w:val="00324A6C"/>
    <w:rsid w:val="00327DD6"/>
    <w:rsid w:val="00331DA8"/>
    <w:rsid w:val="0033543B"/>
    <w:rsid w:val="00335E43"/>
    <w:rsid w:val="003373E8"/>
    <w:rsid w:val="003405E1"/>
    <w:rsid w:val="00340E7D"/>
    <w:rsid w:val="00340ECB"/>
    <w:rsid w:val="0034250C"/>
    <w:rsid w:val="00342B91"/>
    <w:rsid w:val="00344044"/>
    <w:rsid w:val="003440C0"/>
    <w:rsid w:val="0034601E"/>
    <w:rsid w:val="00346977"/>
    <w:rsid w:val="00346CD9"/>
    <w:rsid w:val="00347480"/>
    <w:rsid w:val="003474FD"/>
    <w:rsid w:val="0034766E"/>
    <w:rsid w:val="00350A10"/>
    <w:rsid w:val="00350C5E"/>
    <w:rsid w:val="0035100E"/>
    <w:rsid w:val="003510D3"/>
    <w:rsid w:val="003522A1"/>
    <w:rsid w:val="003522C7"/>
    <w:rsid w:val="0035267F"/>
    <w:rsid w:val="00353F20"/>
    <w:rsid w:val="003540F2"/>
    <w:rsid w:val="0035479E"/>
    <w:rsid w:val="00355183"/>
    <w:rsid w:val="00355C6A"/>
    <w:rsid w:val="00356694"/>
    <w:rsid w:val="00357178"/>
    <w:rsid w:val="00357386"/>
    <w:rsid w:val="00357C73"/>
    <w:rsid w:val="00360785"/>
    <w:rsid w:val="0036125D"/>
    <w:rsid w:val="003642CD"/>
    <w:rsid w:val="00364581"/>
    <w:rsid w:val="00365025"/>
    <w:rsid w:val="00365C8D"/>
    <w:rsid w:val="003661C2"/>
    <w:rsid w:val="003675E5"/>
    <w:rsid w:val="00367962"/>
    <w:rsid w:val="00370222"/>
    <w:rsid w:val="00371D4C"/>
    <w:rsid w:val="00372099"/>
    <w:rsid w:val="003725A9"/>
    <w:rsid w:val="00374A38"/>
    <w:rsid w:val="00374DB0"/>
    <w:rsid w:val="003752E3"/>
    <w:rsid w:val="00375449"/>
    <w:rsid w:val="00375779"/>
    <w:rsid w:val="00375B80"/>
    <w:rsid w:val="00375BA9"/>
    <w:rsid w:val="00375C6A"/>
    <w:rsid w:val="00376973"/>
    <w:rsid w:val="003769B7"/>
    <w:rsid w:val="003769D4"/>
    <w:rsid w:val="00376B0B"/>
    <w:rsid w:val="00377329"/>
    <w:rsid w:val="0037760F"/>
    <w:rsid w:val="0037788D"/>
    <w:rsid w:val="00380412"/>
    <w:rsid w:val="00380CDF"/>
    <w:rsid w:val="00381B1A"/>
    <w:rsid w:val="003836A6"/>
    <w:rsid w:val="003838AB"/>
    <w:rsid w:val="00384146"/>
    <w:rsid w:val="003843BE"/>
    <w:rsid w:val="003848FE"/>
    <w:rsid w:val="00384C27"/>
    <w:rsid w:val="00384FD3"/>
    <w:rsid w:val="00385C62"/>
    <w:rsid w:val="00385FA0"/>
    <w:rsid w:val="00386EA1"/>
    <w:rsid w:val="00390091"/>
    <w:rsid w:val="00390408"/>
    <w:rsid w:val="00390699"/>
    <w:rsid w:val="00391323"/>
    <w:rsid w:val="00393185"/>
    <w:rsid w:val="003934C4"/>
    <w:rsid w:val="00393A93"/>
    <w:rsid w:val="00393D87"/>
    <w:rsid w:val="00394847"/>
    <w:rsid w:val="003957A9"/>
    <w:rsid w:val="00395F49"/>
    <w:rsid w:val="00397973"/>
    <w:rsid w:val="003A2139"/>
    <w:rsid w:val="003A2212"/>
    <w:rsid w:val="003A2577"/>
    <w:rsid w:val="003A528F"/>
    <w:rsid w:val="003A63F9"/>
    <w:rsid w:val="003A7230"/>
    <w:rsid w:val="003B01AC"/>
    <w:rsid w:val="003B1CBF"/>
    <w:rsid w:val="003B40B6"/>
    <w:rsid w:val="003B5CDA"/>
    <w:rsid w:val="003B616B"/>
    <w:rsid w:val="003B66E4"/>
    <w:rsid w:val="003B6E22"/>
    <w:rsid w:val="003B70E2"/>
    <w:rsid w:val="003B73D3"/>
    <w:rsid w:val="003B73FF"/>
    <w:rsid w:val="003B7622"/>
    <w:rsid w:val="003C1DA0"/>
    <w:rsid w:val="003C2949"/>
    <w:rsid w:val="003C4AB6"/>
    <w:rsid w:val="003C5076"/>
    <w:rsid w:val="003D0B1E"/>
    <w:rsid w:val="003D26E0"/>
    <w:rsid w:val="003D3AC2"/>
    <w:rsid w:val="003D3D25"/>
    <w:rsid w:val="003D43FD"/>
    <w:rsid w:val="003D47E1"/>
    <w:rsid w:val="003D4876"/>
    <w:rsid w:val="003D655D"/>
    <w:rsid w:val="003E1557"/>
    <w:rsid w:val="003E1F97"/>
    <w:rsid w:val="003E2852"/>
    <w:rsid w:val="003E4E39"/>
    <w:rsid w:val="003E76F4"/>
    <w:rsid w:val="003F0DB3"/>
    <w:rsid w:val="003F0E60"/>
    <w:rsid w:val="003F2143"/>
    <w:rsid w:val="003F224F"/>
    <w:rsid w:val="003F259C"/>
    <w:rsid w:val="003F25CD"/>
    <w:rsid w:val="003F2BA9"/>
    <w:rsid w:val="003F436A"/>
    <w:rsid w:val="003F50B5"/>
    <w:rsid w:val="003F7002"/>
    <w:rsid w:val="003F75B8"/>
    <w:rsid w:val="003F75DC"/>
    <w:rsid w:val="00400908"/>
    <w:rsid w:val="00400FF9"/>
    <w:rsid w:val="00401D23"/>
    <w:rsid w:val="00402662"/>
    <w:rsid w:val="00403F53"/>
    <w:rsid w:val="00404BA9"/>
    <w:rsid w:val="00405FD5"/>
    <w:rsid w:val="00406A4E"/>
    <w:rsid w:val="0040725D"/>
    <w:rsid w:val="0041163E"/>
    <w:rsid w:val="00412C5A"/>
    <w:rsid w:val="00413DF2"/>
    <w:rsid w:val="004140D8"/>
    <w:rsid w:val="00414FA1"/>
    <w:rsid w:val="00415B4A"/>
    <w:rsid w:val="004160EC"/>
    <w:rsid w:val="00416AA6"/>
    <w:rsid w:val="00416CD3"/>
    <w:rsid w:val="00416E04"/>
    <w:rsid w:val="004174BA"/>
    <w:rsid w:val="00417C5A"/>
    <w:rsid w:val="00417E7A"/>
    <w:rsid w:val="00421582"/>
    <w:rsid w:val="0042199D"/>
    <w:rsid w:val="004219BE"/>
    <w:rsid w:val="00422BDF"/>
    <w:rsid w:val="00423265"/>
    <w:rsid w:val="004237BE"/>
    <w:rsid w:val="00423E26"/>
    <w:rsid w:val="00424123"/>
    <w:rsid w:val="00425306"/>
    <w:rsid w:val="00425F2D"/>
    <w:rsid w:val="00426026"/>
    <w:rsid w:val="004268D0"/>
    <w:rsid w:val="00426CEE"/>
    <w:rsid w:val="004278A6"/>
    <w:rsid w:val="00427C66"/>
    <w:rsid w:val="004318AF"/>
    <w:rsid w:val="0043240B"/>
    <w:rsid w:val="0043389E"/>
    <w:rsid w:val="00433962"/>
    <w:rsid w:val="00433C79"/>
    <w:rsid w:val="00435C93"/>
    <w:rsid w:val="00435F5B"/>
    <w:rsid w:val="0043654A"/>
    <w:rsid w:val="00436A38"/>
    <w:rsid w:val="00436D79"/>
    <w:rsid w:val="00437A10"/>
    <w:rsid w:val="00437FD8"/>
    <w:rsid w:val="00440310"/>
    <w:rsid w:val="00442278"/>
    <w:rsid w:val="00442358"/>
    <w:rsid w:val="00442B84"/>
    <w:rsid w:val="00444244"/>
    <w:rsid w:val="004443A9"/>
    <w:rsid w:val="004449F2"/>
    <w:rsid w:val="00445EDA"/>
    <w:rsid w:val="004465ED"/>
    <w:rsid w:val="0044670D"/>
    <w:rsid w:val="00446AC4"/>
    <w:rsid w:val="004474E6"/>
    <w:rsid w:val="00450B97"/>
    <w:rsid w:val="004513B3"/>
    <w:rsid w:val="00451FFB"/>
    <w:rsid w:val="00452D10"/>
    <w:rsid w:val="0045322D"/>
    <w:rsid w:val="004532A3"/>
    <w:rsid w:val="00454B0C"/>
    <w:rsid w:val="00454DE9"/>
    <w:rsid w:val="00456886"/>
    <w:rsid w:val="00460CF3"/>
    <w:rsid w:val="00461044"/>
    <w:rsid w:val="0046112B"/>
    <w:rsid w:val="004616D8"/>
    <w:rsid w:val="00461DC7"/>
    <w:rsid w:val="00462476"/>
    <w:rsid w:val="00464361"/>
    <w:rsid w:val="00464B72"/>
    <w:rsid w:val="004660A8"/>
    <w:rsid w:val="0046742C"/>
    <w:rsid w:val="00470407"/>
    <w:rsid w:val="004715D2"/>
    <w:rsid w:val="00471D5B"/>
    <w:rsid w:val="004722BE"/>
    <w:rsid w:val="00473735"/>
    <w:rsid w:val="00473CFF"/>
    <w:rsid w:val="004740E0"/>
    <w:rsid w:val="00476655"/>
    <w:rsid w:val="00476E76"/>
    <w:rsid w:val="0047795B"/>
    <w:rsid w:val="004805C1"/>
    <w:rsid w:val="004806A6"/>
    <w:rsid w:val="00480AAB"/>
    <w:rsid w:val="00481F2C"/>
    <w:rsid w:val="004820FE"/>
    <w:rsid w:val="0048285F"/>
    <w:rsid w:val="004849D9"/>
    <w:rsid w:val="00484D77"/>
    <w:rsid w:val="00485AFD"/>
    <w:rsid w:val="00486163"/>
    <w:rsid w:val="00486FA1"/>
    <w:rsid w:val="0048705B"/>
    <w:rsid w:val="004914BB"/>
    <w:rsid w:val="0049162A"/>
    <w:rsid w:val="00491D9A"/>
    <w:rsid w:val="00492FC8"/>
    <w:rsid w:val="00493713"/>
    <w:rsid w:val="00493E3C"/>
    <w:rsid w:val="00494C0F"/>
    <w:rsid w:val="004951C1"/>
    <w:rsid w:val="0049525E"/>
    <w:rsid w:val="00495629"/>
    <w:rsid w:val="00495CAA"/>
    <w:rsid w:val="00496604"/>
    <w:rsid w:val="00496A4D"/>
    <w:rsid w:val="004971E2"/>
    <w:rsid w:val="00497EE0"/>
    <w:rsid w:val="004A0926"/>
    <w:rsid w:val="004A245F"/>
    <w:rsid w:val="004A2941"/>
    <w:rsid w:val="004A30AD"/>
    <w:rsid w:val="004A3A13"/>
    <w:rsid w:val="004A4E37"/>
    <w:rsid w:val="004A5528"/>
    <w:rsid w:val="004A566B"/>
    <w:rsid w:val="004A7175"/>
    <w:rsid w:val="004B0240"/>
    <w:rsid w:val="004B0C63"/>
    <w:rsid w:val="004B0CC0"/>
    <w:rsid w:val="004B17E5"/>
    <w:rsid w:val="004B1C43"/>
    <w:rsid w:val="004B1D82"/>
    <w:rsid w:val="004B1E73"/>
    <w:rsid w:val="004B3154"/>
    <w:rsid w:val="004B3346"/>
    <w:rsid w:val="004B56D9"/>
    <w:rsid w:val="004B5D75"/>
    <w:rsid w:val="004C042B"/>
    <w:rsid w:val="004C1FB1"/>
    <w:rsid w:val="004C292F"/>
    <w:rsid w:val="004C2C08"/>
    <w:rsid w:val="004C32B1"/>
    <w:rsid w:val="004C34AD"/>
    <w:rsid w:val="004C35E7"/>
    <w:rsid w:val="004C503C"/>
    <w:rsid w:val="004C612B"/>
    <w:rsid w:val="004C6EC0"/>
    <w:rsid w:val="004C7E73"/>
    <w:rsid w:val="004D0CDD"/>
    <w:rsid w:val="004D0F3C"/>
    <w:rsid w:val="004D11F2"/>
    <w:rsid w:val="004D1464"/>
    <w:rsid w:val="004D14EA"/>
    <w:rsid w:val="004D2A61"/>
    <w:rsid w:val="004D30A6"/>
    <w:rsid w:val="004D501A"/>
    <w:rsid w:val="004D7536"/>
    <w:rsid w:val="004D7748"/>
    <w:rsid w:val="004D7AA0"/>
    <w:rsid w:val="004E146E"/>
    <w:rsid w:val="004E1A63"/>
    <w:rsid w:val="004E2089"/>
    <w:rsid w:val="004E27AB"/>
    <w:rsid w:val="004E2C6A"/>
    <w:rsid w:val="004E2D29"/>
    <w:rsid w:val="004E3898"/>
    <w:rsid w:val="004E489A"/>
    <w:rsid w:val="004E4D3E"/>
    <w:rsid w:val="004E6BFF"/>
    <w:rsid w:val="004E6D3B"/>
    <w:rsid w:val="004E7A9B"/>
    <w:rsid w:val="004F22DE"/>
    <w:rsid w:val="004F2371"/>
    <w:rsid w:val="004F4F72"/>
    <w:rsid w:val="004F5998"/>
    <w:rsid w:val="004F5C26"/>
    <w:rsid w:val="004F5D5F"/>
    <w:rsid w:val="004F6C31"/>
    <w:rsid w:val="004F6F5C"/>
    <w:rsid w:val="004F7B8C"/>
    <w:rsid w:val="004F7C25"/>
    <w:rsid w:val="00500A15"/>
    <w:rsid w:val="00501540"/>
    <w:rsid w:val="0050194D"/>
    <w:rsid w:val="00503573"/>
    <w:rsid w:val="00505AF9"/>
    <w:rsid w:val="0050625F"/>
    <w:rsid w:val="00506507"/>
    <w:rsid w:val="0051014F"/>
    <w:rsid w:val="005108E3"/>
    <w:rsid w:val="00510CF4"/>
    <w:rsid w:val="00510E72"/>
    <w:rsid w:val="0051223F"/>
    <w:rsid w:val="005137EE"/>
    <w:rsid w:val="0051414A"/>
    <w:rsid w:val="0051467F"/>
    <w:rsid w:val="0051515E"/>
    <w:rsid w:val="00516707"/>
    <w:rsid w:val="005203B6"/>
    <w:rsid w:val="0052060B"/>
    <w:rsid w:val="0052123A"/>
    <w:rsid w:val="00521AB9"/>
    <w:rsid w:val="00522411"/>
    <w:rsid w:val="0052294D"/>
    <w:rsid w:val="00522D9C"/>
    <w:rsid w:val="0052306E"/>
    <w:rsid w:val="00523436"/>
    <w:rsid w:val="0052374A"/>
    <w:rsid w:val="00524456"/>
    <w:rsid w:val="0052449B"/>
    <w:rsid w:val="0052522F"/>
    <w:rsid w:val="00525347"/>
    <w:rsid w:val="005264E3"/>
    <w:rsid w:val="00526C61"/>
    <w:rsid w:val="00526DF2"/>
    <w:rsid w:val="00532BDB"/>
    <w:rsid w:val="00533FB7"/>
    <w:rsid w:val="005361AF"/>
    <w:rsid w:val="005368AB"/>
    <w:rsid w:val="005370DB"/>
    <w:rsid w:val="00537300"/>
    <w:rsid w:val="005377DD"/>
    <w:rsid w:val="0054172F"/>
    <w:rsid w:val="0054345A"/>
    <w:rsid w:val="00543483"/>
    <w:rsid w:val="00543689"/>
    <w:rsid w:val="00543B6B"/>
    <w:rsid w:val="00543D8E"/>
    <w:rsid w:val="00543E70"/>
    <w:rsid w:val="005443EE"/>
    <w:rsid w:val="00544A54"/>
    <w:rsid w:val="00545301"/>
    <w:rsid w:val="00545B9C"/>
    <w:rsid w:val="00545CEE"/>
    <w:rsid w:val="00545DCA"/>
    <w:rsid w:val="00546931"/>
    <w:rsid w:val="005469DB"/>
    <w:rsid w:val="00546C5F"/>
    <w:rsid w:val="005506C8"/>
    <w:rsid w:val="005511D5"/>
    <w:rsid w:val="00552856"/>
    <w:rsid w:val="00552F1A"/>
    <w:rsid w:val="0055355B"/>
    <w:rsid w:val="005539AA"/>
    <w:rsid w:val="005543D7"/>
    <w:rsid w:val="00554677"/>
    <w:rsid w:val="0055602F"/>
    <w:rsid w:val="00556038"/>
    <w:rsid w:val="00556555"/>
    <w:rsid w:val="005571D6"/>
    <w:rsid w:val="005601BD"/>
    <w:rsid w:val="0056056C"/>
    <w:rsid w:val="00560E5B"/>
    <w:rsid w:val="00561FF0"/>
    <w:rsid w:val="00562329"/>
    <w:rsid w:val="005629D1"/>
    <w:rsid w:val="00562B2D"/>
    <w:rsid w:val="00562B5A"/>
    <w:rsid w:val="005648DA"/>
    <w:rsid w:val="00564DCC"/>
    <w:rsid w:val="00564EC3"/>
    <w:rsid w:val="0056582E"/>
    <w:rsid w:val="0056639C"/>
    <w:rsid w:val="00566783"/>
    <w:rsid w:val="00566D0F"/>
    <w:rsid w:val="0057011C"/>
    <w:rsid w:val="0057032C"/>
    <w:rsid w:val="00572065"/>
    <w:rsid w:val="005720BD"/>
    <w:rsid w:val="00572763"/>
    <w:rsid w:val="00573587"/>
    <w:rsid w:val="00573820"/>
    <w:rsid w:val="00574658"/>
    <w:rsid w:val="00574E13"/>
    <w:rsid w:val="00575F31"/>
    <w:rsid w:val="00576E0A"/>
    <w:rsid w:val="00577D47"/>
    <w:rsid w:val="0058089F"/>
    <w:rsid w:val="005831D9"/>
    <w:rsid w:val="005837C1"/>
    <w:rsid w:val="0058474C"/>
    <w:rsid w:val="005858DE"/>
    <w:rsid w:val="00585FB4"/>
    <w:rsid w:val="00586A9A"/>
    <w:rsid w:val="00586BD8"/>
    <w:rsid w:val="00587A25"/>
    <w:rsid w:val="00587C32"/>
    <w:rsid w:val="0059077A"/>
    <w:rsid w:val="00590BD7"/>
    <w:rsid w:val="00594C7A"/>
    <w:rsid w:val="00594EF1"/>
    <w:rsid w:val="0059537C"/>
    <w:rsid w:val="005954E3"/>
    <w:rsid w:val="00596168"/>
    <w:rsid w:val="00597826"/>
    <w:rsid w:val="00597BBE"/>
    <w:rsid w:val="005A0F7C"/>
    <w:rsid w:val="005A14CE"/>
    <w:rsid w:val="005A36CC"/>
    <w:rsid w:val="005A44FE"/>
    <w:rsid w:val="005A524B"/>
    <w:rsid w:val="005A6208"/>
    <w:rsid w:val="005A67E4"/>
    <w:rsid w:val="005A6DDD"/>
    <w:rsid w:val="005A6F88"/>
    <w:rsid w:val="005A7AA0"/>
    <w:rsid w:val="005B0576"/>
    <w:rsid w:val="005B1116"/>
    <w:rsid w:val="005B19C4"/>
    <w:rsid w:val="005B2362"/>
    <w:rsid w:val="005B2A13"/>
    <w:rsid w:val="005B31EE"/>
    <w:rsid w:val="005B3656"/>
    <w:rsid w:val="005B3AB7"/>
    <w:rsid w:val="005B5AF3"/>
    <w:rsid w:val="005B6132"/>
    <w:rsid w:val="005B64EF"/>
    <w:rsid w:val="005B72F1"/>
    <w:rsid w:val="005C06C1"/>
    <w:rsid w:val="005C12CC"/>
    <w:rsid w:val="005C2C2D"/>
    <w:rsid w:val="005C3E4F"/>
    <w:rsid w:val="005C4B4B"/>
    <w:rsid w:val="005C4F6E"/>
    <w:rsid w:val="005C7E35"/>
    <w:rsid w:val="005D17D1"/>
    <w:rsid w:val="005D2388"/>
    <w:rsid w:val="005D2640"/>
    <w:rsid w:val="005D373F"/>
    <w:rsid w:val="005D3E33"/>
    <w:rsid w:val="005D5023"/>
    <w:rsid w:val="005D57DD"/>
    <w:rsid w:val="005D5F86"/>
    <w:rsid w:val="005E1261"/>
    <w:rsid w:val="005E2693"/>
    <w:rsid w:val="005E2719"/>
    <w:rsid w:val="005E359A"/>
    <w:rsid w:val="005E40D4"/>
    <w:rsid w:val="005E5119"/>
    <w:rsid w:val="005E5DC8"/>
    <w:rsid w:val="005E5E40"/>
    <w:rsid w:val="005E5F8E"/>
    <w:rsid w:val="005E6F7A"/>
    <w:rsid w:val="005E7253"/>
    <w:rsid w:val="005E7E21"/>
    <w:rsid w:val="005F03F7"/>
    <w:rsid w:val="005F172E"/>
    <w:rsid w:val="005F43AB"/>
    <w:rsid w:val="005F4556"/>
    <w:rsid w:val="005F554B"/>
    <w:rsid w:val="005F5F13"/>
    <w:rsid w:val="005F6149"/>
    <w:rsid w:val="005F6361"/>
    <w:rsid w:val="005F72B3"/>
    <w:rsid w:val="005F7718"/>
    <w:rsid w:val="005F79CC"/>
    <w:rsid w:val="005F7FBE"/>
    <w:rsid w:val="00601204"/>
    <w:rsid w:val="006017F2"/>
    <w:rsid w:val="006020A0"/>
    <w:rsid w:val="00602148"/>
    <w:rsid w:val="0060407B"/>
    <w:rsid w:val="00604A8C"/>
    <w:rsid w:val="00605352"/>
    <w:rsid w:val="006062F7"/>
    <w:rsid w:val="0060646A"/>
    <w:rsid w:val="00606976"/>
    <w:rsid w:val="00606E52"/>
    <w:rsid w:val="006074BF"/>
    <w:rsid w:val="0061063F"/>
    <w:rsid w:val="00610F41"/>
    <w:rsid w:val="0061151A"/>
    <w:rsid w:val="0061153A"/>
    <w:rsid w:val="00611CF4"/>
    <w:rsid w:val="00612EEC"/>
    <w:rsid w:val="00613B1E"/>
    <w:rsid w:val="006142DD"/>
    <w:rsid w:val="00614437"/>
    <w:rsid w:val="006157F9"/>
    <w:rsid w:val="00615CA5"/>
    <w:rsid w:val="00615FCC"/>
    <w:rsid w:val="00616265"/>
    <w:rsid w:val="00616B68"/>
    <w:rsid w:val="00620F34"/>
    <w:rsid w:val="00621C72"/>
    <w:rsid w:val="00621CF1"/>
    <w:rsid w:val="0062243D"/>
    <w:rsid w:val="00624845"/>
    <w:rsid w:val="00624B36"/>
    <w:rsid w:val="00631CC7"/>
    <w:rsid w:val="00631D0E"/>
    <w:rsid w:val="006328AA"/>
    <w:rsid w:val="00633057"/>
    <w:rsid w:val="006345C9"/>
    <w:rsid w:val="0063506F"/>
    <w:rsid w:val="00635E68"/>
    <w:rsid w:val="0063643B"/>
    <w:rsid w:val="00636E1B"/>
    <w:rsid w:val="00637305"/>
    <w:rsid w:val="00641046"/>
    <w:rsid w:val="00642271"/>
    <w:rsid w:val="00642F05"/>
    <w:rsid w:val="00645387"/>
    <w:rsid w:val="006458D3"/>
    <w:rsid w:val="006459A0"/>
    <w:rsid w:val="00645F3E"/>
    <w:rsid w:val="006463DD"/>
    <w:rsid w:val="00646763"/>
    <w:rsid w:val="0064679B"/>
    <w:rsid w:val="00646C55"/>
    <w:rsid w:val="00650407"/>
    <w:rsid w:val="00650A82"/>
    <w:rsid w:val="00651CCB"/>
    <w:rsid w:val="00653683"/>
    <w:rsid w:val="00653B48"/>
    <w:rsid w:val="00653D5B"/>
    <w:rsid w:val="0065403F"/>
    <w:rsid w:val="006549C4"/>
    <w:rsid w:val="00655DDD"/>
    <w:rsid w:val="006612B3"/>
    <w:rsid w:val="0066157B"/>
    <w:rsid w:val="00662327"/>
    <w:rsid w:val="006628C1"/>
    <w:rsid w:val="00662BA7"/>
    <w:rsid w:val="006630F9"/>
    <w:rsid w:val="006643B9"/>
    <w:rsid w:val="006656A5"/>
    <w:rsid w:val="00666D33"/>
    <w:rsid w:val="006672C3"/>
    <w:rsid w:val="00667821"/>
    <w:rsid w:val="00670AC6"/>
    <w:rsid w:val="006719FD"/>
    <w:rsid w:val="006728B3"/>
    <w:rsid w:val="00672B13"/>
    <w:rsid w:val="006739EF"/>
    <w:rsid w:val="0067414F"/>
    <w:rsid w:val="00674BBF"/>
    <w:rsid w:val="0068043D"/>
    <w:rsid w:val="0068198A"/>
    <w:rsid w:val="00681EB2"/>
    <w:rsid w:val="00682DA2"/>
    <w:rsid w:val="00683708"/>
    <w:rsid w:val="00683CD1"/>
    <w:rsid w:val="00684033"/>
    <w:rsid w:val="00684606"/>
    <w:rsid w:val="006848E3"/>
    <w:rsid w:val="006850B8"/>
    <w:rsid w:val="006853BA"/>
    <w:rsid w:val="00686D42"/>
    <w:rsid w:val="006877E8"/>
    <w:rsid w:val="00687D6A"/>
    <w:rsid w:val="00687FD4"/>
    <w:rsid w:val="00692718"/>
    <w:rsid w:val="00694884"/>
    <w:rsid w:val="0069528F"/>
    <w:rsid w:val="00695682"/>
    <w:rsid w:val="006961E7"/>
    <w:rsid w:val="00696400"/>
    <w:rsid w:val="00696952"/>
    <w:rsid w:val="00697E6A"/>
    <w:rsid w:val="006A03B3"/>
    <w:rsid w:val="006A0E09"/>
    <w:rsid w:val="006A108A"/>
    <w:rsid w:val="006A12C4"/>
    <w:rsid w:val="006A180D"/>
    <w:rsid w:val="006A31A7"/>
    <w:rsid w:val="006A49A2"/>
    <w:rsid w:val="006A4E2B"/>
    <w:rsid w:val="006A65F1"/>
    <w:rsid w:val="006A6705"/>
    <w:rsid w:val="006A6D21"/>
    <w:rsid w:val="006A70CC"/>
    <w:rsid w:val="006B0459"/>
    <w:rsid w:val="006B1538"/>
    <w:rsid w:val="006B17F9"/>
    <w:rsid w:val="006B1D06"/>
    <w:rsid w:val="006B5827"/>
    <w:rsid w:val="006C028F"/>
    <w:rsid w:val="006C051A"/>
    <w:rsid w:val="006C0571"/>
    <w:rsid w:val="006C072B"/>
    <w:rsid w:val="006C20C3"/>
    <w:rsid w:val="006C25D9"/>
    <w:rsid w:val="006C3C8F"/>
    <w:rsid w:val="006C4122"/>
    <w:rsid w:val="006C5AD7"/>
    <w:rsid w:val="006C7BAA"/>
    <w:rsid w:val="006D1AAD"/>
    <w:rsid w:val="006D215B"/>
    <w:rsid w:val="006D2399"/>
    <w:rsid w:val="006D3114"/>
    <w:rsid w:val="006D35BE"/>
    <w:rsid w:val="006D373C"/>
    <w:rsid w:val="006D401C"/>
    <w:rsid w:val="006D4F05"/>
    <w:rsid w:val="006D7BDA"/>
    <w:rsid w:val="006E07A1"/>
    <w:rsid w:val="006E0DAC"/>
    <w:rsid w:val="006E0E74"/>
    <w:rsid w:val="006E1B89"/>
    <w:rsid w:val="006E1C40"/>
    <w:rsid w:val="006E1CAA"/>
    <w:rsid w:val="006E30A6"/>
    <w:rsid w:val="006E3CE8"/>
    <w:rsid w:val="006E4EE7"/>
    <w:rsid w:val="006E52F8"/>
    <w:rsid w:val="006E53CF"/>
    <w:rsid w:val="006E6311"/>
    <w:rsid w:val="006E63D5"/>
    <w:rsid w:val="006E6B09"/>
    <w:rsid w:val="006F0214"/>
    <w:rsid w:val="006F02F5"/>
    <w:rsid w:val="006F03E8"/>
    <w:rsid w:val="006F0BC0"/>
    <w:rsid w:val="006F1643"/>
    <w:rsid w:val="006F38D2"/>
    <w:rsid w:val="006F430B"/>
    <w:rsid w:val="006F47EE"/>
    <w:rsid w:val="006F5E06"/>
    <w:rsid w:val="006F66FE"/>
    <w:rsid w:val="007014CF"/>
    <w:rsid w:val="007028D5"/>
    <w:rsid w:val="00703287"/>
    <w:rsid w:val="007042D0"/>
    <w:rsid w:val="007043DF"/>
    <w:rsid w:val="0070487C"/>
    <w:rsid w:val="00704EE0"/>
    <w:rsid w:val="00705756"/>
    <w:rsid w:val="00705F60"/>
    <w:rsid w:val="007064DD"/>
    <w:rsid w:val="00706983"/>
    <w:rsid w:val="00707B60"/>
    <w:rsid w:val="00710C01"/>
    <w:rsid w:val="00710C07"/>
    <w:rsid w:val="0071170D"/>
    <w:rsid w:val="007127E4"/>
    <w:rsid w:val="00713D44"/>
    <w:rsid w:val="0071408C"/>
    <w:rsid w:val="00714587"/>
    <w:rsid w:val="0071474B"/>
    <w:rsid w:val="007169CC"/>
    <w:rsid w:val="00716DF8"/>
    <w:rsid w:val="00716E92"/>
    <w:rsid w:val="00717E46"/>
    <w:rsid w:val="0072226A"/>
    <w:rsid w:val="00723217"/>
    <w:rsid w:val="007237DB"/>
    <w:rsid w:val="00724249"/>
    <w:rsid w:val="00730CBC"/>
    <w:rsid w:val="0073293F"/>
    <w:rsid w:val="007329C7"/>
    <w:rsid w:val="0073386F"/>
    <w:rsid w:val="00733FBD"/>
    <w:rsid w:val="00735485"/>
    <w:rsid w:val="00735839"/>
    <w:rsid w:val="00735AEC"/>
    <w:rsid w:val="00735B91"/>
    <w:rsid w:val="00735CC8"/>
    <w:rsid w:val="007361FF"/>
    <w:rsid w:val="007373D8"/>
    <w:rsid w:val="00737692"/>
    <w:rsid w:val="00741344"/>
    <w:rsid w:val="0074153B"/>
    <w:rsid w:val="00741701"/>
    <w:rsid w:val="0074199D"/>
    <w:rsid w:val="0074320C"/>
    <w:rsid w:val="00746161"/>
    <w:rsid w:val="0074629F"/>
    <w:rsid w:val="0074671E"/>
    <w:rsid w:val="00746B61"/>
    <w:rsid w:val="00746D25"/>
    <w:rsid w:val="00746FDA"/>
    <w:rsid w:val="00750D4F"/>
    <w:rsid w:val="007531A4"/>
    <w:rsid w:val="00756520"/>
    <w:rsid w:val="00756946"/>
    <w:rsid w:val="00756CD2"/>
    <w:rsid w:val="00757B41"/>
    <w:rsid w:val="00757D15"/>
    <w:rsid w:val="00757F87"/>
    <w:rsid w:val="00757FB6"/>
    <w:rsid w:val="0076109A"/>
    <w:rsid w:val="0076110F"/>
    <w:rsid w:val="007629B2"/>
    <w:rsid w:val="007649A6"/>
    <w:rsid w:val="00765202"/>
    <w:rsid w:val="0076630B"/>
    <w:rsid w:val="0076656A"/>
    <w:rsid w:val="00766DE4"/>
    <w:rsid w:val="00767997"/>
    <w:rsid w:val="00770203"/>
    <w:rsid w:val="007711D3"/>
    <w:rsid w:val="00773196"/>
    <w:rsid w:val="00774551"/>
    <w:rsid w:val="00775782"/>
    <w:rsid w:val="00775A8E"/>
    <w:rsid w:val="00775C1D"/>
    <w:rsid w:val="00776E4B"/>
    <w:rsid w:val="00776FAF"/>
    <w:rsid w:val="0077771E"/>
    <w:rsid w:val="007779E3"/>
    <w:rsid w:val="00777F8F"/>
    <w:rsid w:val="00780225"/>
    <w:rsid w:val="007804E4"/>
    <w:rsid w:val="007807DE"/>
    <w:rsid w:val="00780A36"/>
    <w:rsid w:val="00780BB7"/>
    <w:rsid w:val="00780FB3"/>
    <w:rsid w:val="00781304"/>
    <w:rsid w:val="00785B11"/>
    <w:rsid w:val="00786A45"/>
    <w:rsid w:val="0078739E"/>
    <w:rsid w:val="00787812"/>
    <w:rsid w:val="0079011A"/>
    <w:rsid w:val="007917AF"/>
    <w:rsid w:val="00791999"/>
    <w:rsid w:val="00792E2C"/>
    <w:rsid w:val="0079347C"/>
    <w:rsid w:val="0079371F"/>
    <w:rsid w:val="007943C1"/>
    <w:rsid w:val="00794A38"/>
    <w:rsid w:val="00795E52"/>
    <w:rsid w:val="00795E61"/>
    <w:rsid w:val="007961B7"/>
    <w:rsid w:val="00796368"/>
    <w:rsid w:val="00796965"/>
    <w:rsid w:val="00796A80"/>
    <w:rsid w:val="00797127"/>
    <w:rsid w:val="00797486"/>
    <w:rsid w:val="00797F60"/>
    <w:rsid w:val="007A3465"/>
    <w:rsid w:val="007A351E"/>
    <w:rsid w:val="007A3772"/>
    <w:rsid w:val="007A4B37"/>
    <w:rsid w:val="007A51E6"/>
    <w:rsid w:val="007A5228"/>
    <w:rsid w:val="007A6058"/>
    <w:rsid w:val="007A6BE2"/>
    <w:rsid w:val="007A71B2"/>
    <w:rsid w:val="007A75F0"/>
    <w:rsid w:val="007B0973"/>
    <w:rsid w:val="007B14F9"/>
    <w:rsid w:val="007B30EE"/>
    <w:rsid w:val="007B54C2"/>
    <w:rsid w:val="007B6143"/>
    <w:rsid w:val="007B6526"/>
    <w:rsid w:val="007B657B"/>
    <w:rsid w:val="007B6DE1"/>
    <w:rsid w:val="007B7C07"/>
    <w:rsid w:val="007C06B4"/>
    <w:rsid w:val="007C17A0"/>
    <w:rsid w:val="007C4B94"/>
    <w:rsid w:val="007C59E7"/>
    <w:rsid w:val="007C66C3"/>
    <w:rsid w:val="007C6C45"/>
    <w:rsid w:val="007C7F24"/>
    <w:rsid w:val="007D0BB3"/>
    <w:rsid w:val="007D0DFB"/>
    <w:rsid w:val="007D1276"/>
    <w:rsid w:val="007D20DF"/>
    <w:rsid w:val="007D2855"/>
    <w:rsid w:val="007D2956"/>
    <w:rsid w:val="007D2BF7"/>
    <w:rsid w:val="007D2E08"/>
    <w:rsid w:val="007D410E"/>
    <w:rsid w:val="007D7987"/>
    <w:rsid w:val="007D7D7E"/>
    <w:rsid w:val="007E03D6"/>
    <w:rsid w:val="007E1043"/>
    <w:rsid w:val="007E380A"/>
    <w:rsid w:val="007E3986"/>
    <w:rsid w:val="007E4029"/>
    <w:rsid w:val="007E71B7"/>
    <w:rsid w:val="007E7209"/>
    <w:rsid w:val="007E7C05"/>
    <w:rsid w:val="007F042F"/>
    <w:rsid w:val="007F0862"/>
    <w:rsid w:val="007F089B"/>
    <w:rsid w:val="007F1808"/>
    <w:rsid w:val="007F27B2"/>
    <w:rsid w:val="007F37EE"/>
    <w:rsid w:val="007F531A"/>
    <w:rsid w:val="007F6CDF"/>
    <w:rsid w:val="007F6F6A"/>
    <w:rsid w:val="008023EE"/>
    <w:rsid w:val="00803920"/>
    <w:rsid w:val="00803AB5"/>
    <w:rsid w:val="00803AC4"/>
    <w:rsid w:val="00803B63"/>
    <w:rsid w:val="00803C9C"/>
    <w:rsid w:val="00803C9E"/>
    <w:rsid w:val="00804E97"/>
    <w:rsid w:val="00810231"/>
    <w:rsid w:val="00810B47"/>
    <w:rsid w:val="00812830"/>
    <w:rsid w:val="00814578"/>
    <w:rsid w:val="008145E1"/>
    <w:rsid w:val="00814ADE"/>
    <w:rsid w:val="008167EC"/>
    <w:rsid w:val="0081775D"/>
    <w:rsid w:val="008179BF"/>
    <w:rsid w:val="008209EA"/>
    <w:rsid w:val="0082143E"/>
    <w:rsid w:val="008221C3"/>
    <w:rsid w:val="00822A64"/>
    <w:rsid w:val="00822F73"/>
    <w:rsid w:val="008230BD"/>
    <w:rsid w:val="00824A23"/>
    <w:rsid w:val="008261D9"/>
    <w:rsid w:val="00826D64"/>
    <w:rsid w:val="0082783F"/>
    <w:rsid w:val="00830094"/>
    <w:rsid w:val="00830B9C"/>
    <w:rsid w:val="00830C11"/>
    <w:rsid w:val="00830F3E"/>
    <w:rsid w:val="008310B8"/>
    <w:rsid w:val="008310E4"/>
    <w:rsid w:val="00832CBF"/>
    <w:rsid w:val="0083332F"/>
    <w:rsid w:val="00833387"/>
    <w:rsid w:val="00833443"/>
    <w:rsid w:val="00833D69"/>
    <w:rsid w:val="00834BB5"/>
    <w:rsid w:val="00835535"/>
    <w:rsid w:val="008369AF"/>
    <w:rsid w:val="008372E3"/>
    <w:rsid w:val="00837EED"/>
    <w:rsid w:val="00840340"/>
    <w:rsid w:val="008407C7"/>
    <w:rsid w:val="00840851"/>
    <w:rsid w:val="0084092A"/>
    <w:rsid w:val="00841AB8"/>
    <w:rsid w:val="00841F72"/>
    <w:rsid w:val="008426D1"/>
    <w:rsid w:val="008435CE"/>
    <w:rsid w:val="00846E74"/>
    <w:rsid w:val="00847061"/>
    <w:rsid w:val="0084707E"/>
    <w:rsid w:val="008472F8"/>
    <w:rsid w:val="00847C3F"/>
    <w:rsid w:val="00847FEC"/>
    <w:rsid w:val="008511BE"/>
    <w:rsid w:val="00851DAA"/>
    <w:rsid w:val="0085295D"/>
    <w:rsid w:val="00852CE1"/>
    <w:rsid w:val="0085352A"/>
    <w:rsid w:val="0085367E"/>
    <w:rsid w:val="00853739"/>
    <w:rsid w:val="008544C2"/>
    <w:rsid w:val="00856A41"/>
    <w:rsid w:val="0085778C"/>
    <w:rsid w:val="008617D2"/>
    <w:rsid w:val="00861849"/>
    <w:rsid w:val="008621E5"/>
    <w:rsid w:val="00862C0E"/>
    <w:rsid w:val="00862DB0"/>
    <w:rsid w:val="00866D4D"/>
    <w:rsid w:val="008678ED"/>
    <w:rsid w:val="00867E22"/>
    <w:rsid w:val="00870CC0"/>
    <w:rsid w:val="008714CC"/>
    <w:rsid w:val="00872014"/>
    <w:rsid w:val="0087370C"/>
    <w:rsid w:val="0087487A"/>
    <w:rsid w:val="00875515"/>
    <w:rsid w:val="008758DE"/>
    <w:rsid w:val="00875E1D"/>
    <w:rsid w:val="008761F2"/>
    <w:rsid w:val="008770CF"/>
    <w:rsid w:val="00877EA7"/>
    <w:rsid w:val="008808C7"/>
    <w:rsid w:val="00880EB0"/>
    <w:rsid w:val="008815DD"/>
    <w:rsid w:val="00882CAF"/>
    <w:rsid w:val="00882D3A"/>
    <w:rsid w:val="00884888"/>
    <w:rsid w:val="00884AC8"/>
    <w:rsid w:val="00884CE6"/>
    <w:rsid w:val="00884F7C"/>
    <w:rsid w:val="0088527A"/>
    <w:rsid w:val="008856AE"/>
    <w:rsid w:val="00886226"/>
    <w:rsid w:val="00890725"/>
    <w:rsid w:val="00891B5D"/>
    <w:rsid w:val="008923B9"/>
    <w:rsid w:val="00892F73"/>
    <w:rsid w:val="008932B3"/>
    <w:rsid w:val="008938DE"/>
    <w:rsid w:val="00894D28"/>
    <w:rsid w:val="008960FB"/>
    <w:rsid w:val="008975EF"/>
    <w:rsid w:val="008976C2"/>
    <w:rsid w:val="008A132F"/>
    <w:rsid w:val="008A1B52"/>
    <w:rsid w:val="008A1FF1"/>
    <w:rsid w:val="008A2A54"/>
    <w:rsid w:val="008A3032"/>
    <w:rsid w:val="008A3365"/>
    <w:rsid w:val="008A3D1B"/>
    <w:rsid w:val="008A4B81"/>
    <w:rsid w:val="008A7591"/>
    <w:rsid w:val="008B00D7"/>
    <w:rsid w:val="008B08AA"/>
    <w:rsid w:val="008B08AD"/>
    <w:rsid w:val="008B1076"/>
    <w:rsid w:val="008B29E7"/>
    <w:rsid w:val="008B3624"/>
    <w:rsid w:val="008B3F41"/>
    <w:rsid w:val="008B51C1"/>
    <w:rsid w:val="008B550B"/>
    <w:rsid w:val="008B5771"/>
    <w:rsid w:val="008B62E4"/>
    <w:rsid w:val="008B6469"/>
    <w:rsid w:val="008B64DA"/>
    <w:rsid w:val="008B6864"/>
    <w:rsid w:val="008C0D95"/>
    <w:rsid w:val="008C174A"/>
    <w:rsid w:val="008C309E"/>
    <w:rsid w:val="008C4A34"/>
    <w:rsid w:val="008C531E"/>
    <w:rsid w:val="008D119D"/>
    <w:rsid w:val="008D211D"/>
    <w:rsid w:val="008D453F"/>
    <w:rsid w:val="008D5862"/>
    <w:rsid w:val="008D5E78"/>
    <w:rsid w:val="008D696D"/>
    <w:rsid w:val="008D6F5E"/>
    <w:rsid w:val="008D72BD"/>
    <w:rsid w:val="008D7AC0"/>
    <w:rsid w:val="008D7F4F"/>
    <w:rsid w:val="008E11C6"/>
    <w:rsid w:val="008E16A6"/>
    <w:rsid w:val="008E20C4"/>
    <w:rsid w:val="008E2E84"/>
    <w:rsid w:val="008E6210"/>
    <w:rsid w:val="008E718A"/>
    <w:rsid w:val="008F1830"/>
    <w:rsid w:val="008F1F51"/>
    <w:rsid w:val="008F4326"/>
    <w:rsid w:val="008F4879"/>
    <w:rsid w:val="008F6C41"/>
    <w:rsid w:val="00900F21"/>
    <w:rsid w:val="009011FC"/>
    <w:rsid w:val="00902169"/>
    <w:rsid w:val="00902C2A"/>
    <w:rsid w:val="00903791"/>
    <w:rsid w:val="00904532"/>
    <w:rsid w:val="009053F5"/>
    <w:rsid w:val="00905DC1"/>
    <w:rsid w:val="00905E23"/>
    <w:rsid w:val="0090602E"/>
    <w:rsid w:val="00906612"/>
    <w:rsid w:val="00907BD1"/>
    <w:rsid w:val="00910836"/>
    <w:rsid w:val="0091118F"/>
    <w:rsid w:val="009111D3"/>
    <w:rsid w:val="00911766"/>
    <w:rsid w:val="00911EEF"/>
    <w:rsid w:val="009125D8"/>
    <w:rsid w:val="00912B68"/>
    <w:rsid w:val="009131C4"/>
    <w:rsid w:val="0091405C"/>
    <w:rsid w:val="009152F3"/>
    <w:rsid w:val="009158D4"/>
    <w:rsid w:val="00916BE2"/>
    <w:rsid w:val="00921038"/>
    <w:rsid w:val="00921316"/>
    <w:rsid w:val="00921C27"/>
    <w:rsid w:val="00921F4D"/>
    <w:rsid w:val="00922490"/>
    <w:rsid w:val="009224CB"/>
    <w:rsid w:val="00922C1D"/>
    <w:rsid w:val="00923AAA"/>
    <w:rsid w:val="00925013"/>
    <w:rsid w:val="0092608B"/>
    <w:rsid w:val="009261BA"/>
    <w:rsid w:val="00927703"/>
    <w:rsid w:val="009309E8"/>
    <w:rsid w:val="00931549"/>
    <w:rsid w:val="009315B8"/>
    <w:rsid w:val="009322E9"/>
    <w:rsid w:val="0093249B"/>
    <w:rsid w:val="009362D8"/>
    <w:rsid w:val="00936868"/>
    <w:rsid w:val="00937DF5"/>
    <w:rsid w:val="009402CC"/>
    <w:rsid w:val="0094471F"/>
    <w:rsid w:val="00944733"/>
    <w:rsid w:val="00944CDF"/>
    <w:rsid w:val="00945813"/>
    <w:rsid w:val="00946493"/>
    <w:rsid w:val="00950A2E"/>
    <w:rsid w:val="00952E38"/>
    <w:rsid w:val="009547AB"/>
    <w:rsid w:val="009551B6"/>
    <w:rsid w:val="009559E3"/>
    <w:rsid w:val="00956391"/>
    <w:rsid w:val="00960549"/>
    <w:rsid w:val="00960E7B"/>
    <w:rsid w:val="009611B5"/>
    <w:rsid w:val="0096520F"/>
    <w:rsid w:val="00966D56"/>
    <w:rsid w:val="009676E2"/>
    <w:rsid w:val="00967A73"/>
    <w:rsid w:val="009718C7"/>
    <w:rsid w:val="00971D1A"/>
    <w:rsid w:val="00971D59"/>
    <w:rsid w:val="0097369E"/>
    <w:rsid w:val="009744CB"/>
    <w:rsid w:val="0097500A"/>
    <w:rsid w:val="00975245"/>
    <w:rsid w:val="00980E75"/>
    <w:rsid w:val="0098123A"/>
    <w:rsid w:val="009828CB"/>
    <w:rsid w:val="00982CC1"/>
    <w:rsid w:val="009840CE"/>
    <w:rsid w:val="009853F1"/>
    <w:rsid w:val="009868E2"/>
    <w:rsid w:val="009875C4"/>
    <w:rsid w:val="00987F75"/>
    <w:rsid w:val="009902BC"/>
    <w:rsid w:val="0099105B"/>
    <w:rsid w:val="00991578"/>
    <w:rsid w:val="00991F07"/>
    <w:rsid w:val="00992ACB"/>
    <w:rsid w:val="00994038"/>
    <w:rsid w:val="00995B8B"/>
    <w:rsid w:val="009963CE"/>
    <w:rsid w:val="0099760F"/>
    <w:rsid w:val="00997CB6"/>
    <w:rsid w:val="00997FF5"/>
    <w:rsid w:val="009A0441"/>
    <w:rsid w:val="009A0564"/>
    <w:rsid w:val="009A31BC"/>
    <w:rsid w:val="009A43ED"/>
    <w:rsid w:val="009A4A1C"/>
    <w:rsid w:val="009A5043"/>
    <w:rsid w:val="009A5FAC"/>
    <w:rsid w:val="009A75EE"/>
    <w:rsid w:val="009B0EDD"/>
    <w:rsid w:val="009B1719"/>
    <w:rsid w:val="009B1CD0"/>
    <w:rsid w:val="009B21C7"/>
    <w:rsid w:val="009B28BF"/>
    <w:rsid w:val="009B2BBA"/>
    <w:rsid w:val="009B2F32"/>
    <w:rsid w:val="009B3E96"/>
    <w:rsid w:val="009B48A3"/>
    <w:rsid w:val="009B5F7A"/>
    <w:rsid w:val="009B6B84"/>
    <w:rsid w:val="009B6E34"/>
    <w:rsid w:val="009B7D8C"/>
    <w:rsid w:val="009C1342"/>
    <w:rsid w:val="009C51DC"/>
    <w:rsid w:val="009C553B"/>
    <w:rsid w:val="009C6104"/>
    <w:rsid w:val="009C625D"/>
    <w:rsid w:val="009C7289"/>
    <w:rsid w:val="009C7AE2"/>
    <w:rsid w:val="009D173F"/>
    <w:rsid w:val="009D1D19"/>
    <w:rsid w:val="009D2D4C"/>
    <w:rsid w:val="009D33F9"/>
    <w:rsid w:val="009D473E"/>
    <w:rsid w:val="009D4DDD"/>
    <w:rsid w:val="009D5FD9"/>
    <w:rsid w:val="009D64F0"/>
    <w:rsid w:val="009D68F0"/>
    <w:rsid w:val="009D6F1A"/>
    <w:rsid w:val="009D7305"/>
    <w:rsid w:val="009E1569"/>
    <w:rsid w:val="009E1854"/>
    <w:rsid w:val="009E19F5"/>
    <w:rsid w:val="009E2980"/>
    <w:rsid w:val="009E2B1E"/>
    <w:rsid w:val="009E2C33"/>
    <w:rsid w:val="009E2F7B"/>
    <w:rsid w:val="009E37CF"/>
    <w:rsid w:val="009E3DD2"/>
    <w:rsid w:val="009E3EAB"/>
    <w:rsid w:val="009E415F"/>
    <w:rsid w:val="009E5CD4"/>
    <w:rsid w:val="009E7905"/>
    <w:rsid w:val="009F1450"/>
    <w:rsid w:val="009F2260"/>
    <w:rsid w:val="009F5055"/>
    <w:rsid w:val="009F554B"/>
    <w:rsid w:val="00A00877"/>
    <w:rsid w:val="00A00BAF"/>
    <w:rsid w:val="00A020D9"/>
    <w:rsid w:val="00A0215E"/>
    <w:rsid w:val="00A02801"/>
    <w:rsid w:val="00A02FEC"/>
    <w:rsid w:val="00A030CB"/>
    <w:rsid w:val="00A03383"/>
    <w:rsid w:val="00A03658"/>
    <w:rsid w:val="00A04872"/>
    <w:rsid w:val="00A04B1B"/>
    <w:rsid w:val="00A05B04"/>
    <w:rsid w:val="00A05C0B"/>
    <w:rsid w:val="00A06111"/>
    <w:rsid w:val="00A06385"/>
    <w:rsid w:val="00A0638A"/>
    <w:rsid w:val="00A0641E"/>
    <w:rsid w:val="00A06513"/>
    <w:rsid w:val="00A06B4A"/>
    <w:rsid w:val="00A115BC"/>
    <w:rsid w:val="00A118AC"/>
    <w:rsid w:val="00A123F6"/>
    <w:rsid w:val="00A12CF3"/>
    <w:rsid w:val="00A13201"/>
    <w:rsid w:val="00A14172"/>
    <w:rsid w:val="00A1484C"/>
    <w:rsid w:val="00A15041"/>
    <w:rsid w:val="00A1724B"/>
    <w:rsid w:val="00A17B15"/>
    <w:rsid w:val="00A212E7"/>
    <w:rsid w:val="00A21C87"/>
    <w:rsid w:val="00A22A1C"/>
    <w:rsid w:val="00A22D12"/>
    <w:rsid w:val="00A24089"/>
    <w:rsid w:val="00A264D9"/>
    <w:rsid w:val="00A32FF1"/>
    <w:rsid w:val="00A332D7"/>
    <w:rsid w:val="00A33345"/>
    <w:rsid w:val="00A33F4A"/>
    <w:rsid w:val="00A34640"/>
    <w:rsid w:val="00A35C93"/>
    <w:rsid w:val="00A36C30"/>
    <w:rsid w:val="00A37927"/>
    <w:rsid w:val="00A37F5E"/>
    <w:rsid w:val="00A413EE"/>
    <w:rsid w:val="00A419CC"/>
    <w:rsid w:val="00A45FAB"/>
    <w:rsid w:val="00A46274"/>
    <w:rsid w:val="00A46CF2"/>
    <w:rsid w:val="00A47828"/>
    <w:rsid w:val="00A51BB6"/>
    <w:rsid w:val="00A52671"/>
    <w:rsid w:val="00A53A1D"/>
    <w:rsid w:val="00A53AC0"/>
    <w:rsid w:val="00A54CE5"/>
    <w:rsid w:val="00A54DC2"/>
    <w:rsid w:val="00A54F06"/>
    <w:rsid w:val="00A55B9F"/>
    <w:rsid w:val="00A55C39"/>
    <w:rsid w:val="00A560A4"/>
    <w:rsid w:val="00A57002"/>
    <w:rsid w:val="00A575EE"/>
    <w:rsid w:val="00A602A5"/>
    <w:rsid w:val="00A60EF9"/>
    <w:rsid w:val="00A62005"/>
    <w:rsid w:val="00A636F9"/>
    <w:rsid w:val="00A659FB"/>
    <w:rsid w:val="00A66ABD"/>
    <w:rsid w:val="00A67EB1"/>
    <w:rsid w:val="00A67FEA"/>
    <w:rsid w:val="00A7000E"/>
    <w:rsid w:val="00A70D98"/>
    <w:rsid w:val="00A70E98"/>
    <w:rsid w:val="00A7173D"/>
    <w:rsid w:val="00A718A7"/>
    <w:rsid w:val="00A728FD"/>
    <w:rsid w:val="00A73419"/>
    <w:rsid w:val="00A7549B"/>
    <w:rsid w:val="00A761F2"/>
    <w:rsid w:val="00A76516"/>
    <w:rsid w:val="00A807C4"/>
    <w:rsid w:val="00A80812"/>
    <w:rsid w:val="00A811DE"/>
    <w:rsid w:val="00A81E76"/>
    <w:rsid w:val="00A82533"/>
    <w:rsid w:val="00A82FB1"/>
    <w:rsid w:val="00A83581"/>
    <w:rsid w:val="00A848A1"/>
    <w:rsid w:val="00A85022"/>
    <w:rsid w:val="00A85876"/>
    <w:rsid w:val="00A86EC7"/>
    <w:rsid w:val="00A87270"/>
    <w:rsid w:val="00A87D71"/>
    <w:rsid w:val="00A9029D"/>
    <w:rsid w:val="00A90463"/>
    <w:rsid w:val="00A9275F"/>
    <w:rsid w:val="00A93B9D"/>
    <w:rsid w:val="00A947C3"/>
    <w:rsid w:val="00A94F3F"/>
    <w:rsid w:val="00A95116"/>
    <w:rsid w:val="00A96211"/>
    <w:rsid w:val="00A97307"/>
    <w:rsid w:val="00A97FFA"/>
    <w:rsid w:val="00AA101D"/>
    <w:rsid w:val="00AA128D"/>
    <w:rsid w:val="00AA13AA"/>
    <w:rsid w:val="00AA1431"/>
    <w:rsid w:val="00AA1737"/>
    <w:rsid w:val="00AA25A7"/>
    <w:rsid w:val="00AA3BB2"/>
    <w:rsid w:val="00AA5335"/>
    <w:rsid w:val="00AA5BB3"/>
    <w:rsid w:val="00AA5D8F"/>
    <w:rsid w:val="00AA79C8"/>
    <w:rsid w:val="00AB0FAD"/>
    <w:rsid w:val="00AB12D6"/>
    <w:rsid w:val="00AB1819"/>
    <w:rsid w:val="00AB22D8"/>
    <w:rsid w:val="00AB2566"/>
    <w:rsid w:val="00AB2F1E"/>
    <w:rsid w:val="00AB306F"/>
    <w:rsid w:val="00AB62C8"/>
    <w:rsid w:val="00AC0951"/>
    <w:rsid w:val="00AC16DE"/>
    <w:rsid w:val="00AC271D"/>
    <w:rsid w:val="00AC2C23"/>
    <w:rsid w:val="00AC36C7"/>
    <w:rsid w:val="00AC4135"/>
    <w:rsid w:val="00AC5696"/>
    <w:rsid w:val="00AC58AE"/>
    <w:rsid w:val="00AC6467"/>
    <w:rsid w:val="00AC6F25"/>
    <w:rsid w:val="00AC7559"/>
    <w:rsid w:val="00AD0682"/>
    <w:rsid w:val="00AD1195"/>
    <w:rsid w:val="00AD36FA"/>
    <w:rsid w:val="00AD48FD"/>
    <w:rsid w:val="00AD6249"/>
    <w:rsid w:val="00AD65E2"/>
    <w:rsid w:val="00AD6ACF"/>
    <w:rsid w:val="00AD7AF9"/>
    <w:rsid w:val="00AE1F8E"/>
    <w:rsid w:val="00AE3230"/>
    <w:rsid w:val="00AE5503"/>
    <w:rsid w:val="00AE652F"/>
    <w:rsid w:val="00AE6E00"/>
    <w:rsid w:val="00AE6ECB"/>
    <w:rsid w:val="00AE7838"/>
    <w:rsid w:val="00AF001D"/>
    <w:rsid w:val="00AF068B"/>
    <w:rsid w:val="00AF0973"/>
    <w:rsid w:val="00AF0F60"/>
    <w:rsid w:val="00AF425D"/>
    <w:rsid w:val="00AF48F6"/>
    <w:rsid w:val="00AF490C"/>
    <w:rsid w:val="00AF65E4"/>
    <w:rsid w:val="00AF67CE"/>
    <w:rsid w:val="00AF73C6"/>
    <w:rsid w:val="00B00170"/>
    <w:rsid w:val="00B00ABD"/>
    <w:rsid w:val="00B01662"/>
    <w:rsid w:val="00B02793"/>
    <w:rsid w:val="00B03F97"/>
    <w:rsid w:val="00B0407F"/>
    <w:rsid w:val="00B04D2D"/>
    <w:rsid w:val="00B054B7"/>
    <w:rsid w:val="00B05547"/>
    <w:rsid w:val="00B06BCE"/>
    <w:rsid w:val="00B06DE5"/>
    <w:rsid w:val="00B07A7A"/>
    <w:rsid w:val="00B10184"/>
    <w:rsid w:val="00B11BD4"/>
    <w:rsid w:val="00B12CC2"/>
    <w:rsid w:val="00B12F4A"/>
    <w:rsid w:val="00B13AC7"/>
    <w:rsid w:val="00B143DC"/>
    <w:rsid w:val="00B14A98"/>
    <w:rsid w:val="00B14FD3"/>
    <w:rsid w:val="00B1587D"/>
    <w:rsid w:val="00B15A47"/>
    <w:rsid w:val="00B15AC9"/>
    <w:rsid w:val="00B16832"/>
    <w:rsid w:val="00B171CA"/>
    <w:rsid w:val="00B2070D"/>
    <w:rsid w:val="00B20840"/>
    <w:rsid w:val="00B20EEB"/>
    <w:rsid w:val="00B21029"/>
    <w:rsid w:val="00B2223E"/>
    <w:rsid w:val="00B22567"/>
    <w:rsid w:val="00B23490"/>
    <w:rsid w:val="00B2373D"/>
    <w:rsid w:val="00B239C0"/>
    <w:rsid w:val="00B23E3F"/>
    <w:rsid w:val="00B24E19"/>
    <w:rsid w:val="00B265E8"/>
    <w:rsid w:val="00B26902"/>
    <w:rsid w:val="00B26972"/>
    <w:rsid w:val="00B269B6"/>
    <w:rsid w:val="00B273FB"/>
    <w:rsid w:val="00B27D74"/>
    <w:rsid w:val="00B308A5"/>
    <w:rsid w:val="00B31324"/>
    <w:rsid w:val="00B31DBE"/>
    <w:rsid w:val="00B32085"/>
    <w:rsid w:val="00B33134"/>
    <w:rsid w:val="00B3334F"/>
    <w:rsid w:val="00B336C0"/>
    <w:rsid w:val="00B33CAD"/>
    <w:rsid w:val="00B33F3B"/>
    <w:rsid w:val="00B349F2"/>
    <w:rsid w:val="00B34D08"/>
    <w:rsid w:val="00B4135D"/>
    <w:rsid w:val="00B41648"/>
    <w:rsid w:val="00B42ECA"/>
    <w:rsid w:val="00B43688"/>
    <w:rsid w:val="00B4449C"/>
    <w:rsid w:val="00B45B33"/>
    <w:rsid w:val="00B45E0F"/>
    <w:rsid w:val="00B466D2"/>
    <w:rsid w:val="00B476D3"/>
    <w:rsid w:val="00B50117"/>
    <w:rsid w:val="00B501F0"/>
    <w:rsid w:val="00B504B2"/>
    <w:rsid w:val="00B5066C"/>
    <w:rsid w:val="00B5148E"/>
    <w:rsid w:val="00B5203D"/>
    <w:rsid w:val="00B520F5"/>
    <w:rsid w:val="00B52255"/>
    <w:rsid w:val="00B54A8D"/>
    <w:rsid w:val="00B551E3"/>
    <w:rsid w:val="00B553F7"/>
    <w:rsid w:val="00B56844"/>
    <w:rsid w:val="00B56FC6"/>
    <w:rsid w:val="00B60A6A"/>
    <w:rsid w:val="00B616E0"/>
    <w:rsid w:val="00B61D33"/>
    <w:rsid w:val="00B654DD"/>
    <w:rsid w:val="00B66CE6"/>
    <w:rsid w:val="00B671BF"/>
    <w:rsid w:val="00B67396"/>
    <w:rsid w:val="00B675F1"/>
    <w:rsid w:val="00B67F46"/>
    <w:rsid w:val="00B70485"/>
    <w:rsid w:val="00B7083C"/>
    <w:rsid w:val="00B70D02"/>
    <w:rsid w:val="00B70EDA"/>
    <w:rsid w:val="00B72E64"/>
    <w:rsid w:val="00B74121"/>
    <w:rsid w:val="00B74136"/>
    <w:rsid w:val="00B74E98"/>
    <w:rsid w:val="00B756D2"/>
    <w:rsid w:val="00B75D9F"/>
    <w:rsid w:val="00B772A7"/>
    <w:rsid w:val="00B77C70"/>
    <w:rsid w:val="00B80315"/>
    <w:rsid w:val="00B80D6D"/>
    <w:rsid w:val="00B81644"/>
    <w:rsid w:val="00B818AC"/>
    <w:rsid w:val="00B823A7"/>
    <w:rsid w:val="00B840B4"/>
    <w:rsid w:val="00B86682"/>
    <w:rsid w:val="00B90280"/>
    <w:rsid w:val="00B9046C"/>
    <w:rsid w:val="00B90940"/>
    <w:rsid w:val="00B92175"/>
    <w:rsid w:val="00B92542"/>
    <w:rsid w:val="00B94568"/>
    <w:rsid w:val="00B9548A"/>
    <w:rsid w:val="00B95A5B"/>
    <w:rsid w:val="00B95BC4"/>
    <w:rsid w:val="00B96192"/>
    <w:rsid w:val="00B96333"/>
    <w:rsid w:val="00B96826"/>
    <w:rsid w:val="00BA0F52"/>
    <w:rsid w:val="00BA1C89"/>
    <w:rsid w:val="00BA53B2"/>
    <w:rsid w:val="00BA593B"/>
    <w:rsid w:val="00BA7282"/>
    <w:rsid w:val="00BA7E95"/>
    <w:rsid w:val="00BB1455"/>
    <w:rsid w:val="00BB16A5"/>
    <w:rsid w:val="00BB2276"/>
    <w:rsid w:val="00BB3CE1"/>
    <w:rsid w:val="00BB3E9D"/>
    <w:rsid w:val="00BB555F"/>
    <w:rsid w:val="00BB584E"/>
    <w:rsid w:val="00BB5DAC"/>
    <w:rsid w:val="00BB6B38"/>
    <w:rsid w:val="00BB7526"/>
    <w:rsid w:val="00BB7A4F"/>
    <w:rsid w:val="00BC1063"/>
    <w:rsid w:val="00BC2707"/>
    <w:rsid w:val="00BC48CF"/>
    <w:rsid w:val="00BC4C5B"/>
    <w:rsid w:val="00BC617A"/>
    <w:rsid w:val="00BC69C8"/>
    <w:rsid w:val="00BC71DC"/>
    <w:rsid w:val="00BC7AFB"/>
    <w:rsid w:val="00BD04CF"/>
    <w:rsid w:val="00BD0F38"/>
    <w:rsid w:val="00BD10E9"/>
    <w:rsid w:val="00BD225B"/>
    <w:rsid w:val="00BD2BCE"/>
    <w:rsid w:val="00BD3D2B"/>
    <w:rsid w:val="00BD42B7"/>
    <w:rsid w:val="00BD58EF"/>
    <w:rsid w:val="00BD5B7C"/>
    <w:rsid w:val="00BD5CA8"/>
    <w:rsid w:val="00BD7469"/>
    <w:rsid w:val="00BD749F"/>
    <w:rsid w:val="00BD76AE"/>
    <w:rsid w:val="00BD7D3A"/>
    <w:rsid w:val="00BD7D96"/>
    <w:rsid w:val="00BD7E2E"/>
    <w:rsid w:val="00BE0D64"/>
    <w:rsid w:val="00BE1482"/>
    <w:rsid w:val="00BE2842"/>
    <w:rsid w:val="00BE4538"/>
    <w:rsid w:val="00BE4B65"/>
    <w:rsid w:val="00BE5A84"/>
    <w:rsid w:val="00BE669E"/>
    <w:rsid w:val="00BE6A81"/>
    <w:rsid w:val="00BE778D"/>
    <w:rsid w:val="00BF0C76"/>
    <w:rsid w:val="00BF1A34"/>
    <w:rsid w:val="00BF3F92"/>
    <w:rsid w:val="00BF4745"/>
    <w:rsid w:val="00BF4FC8"/>
    <w:rsid w:val="00BF583E"/>
    <w:rsid w:val="00BF5B7D"/>
    <w:rsid w:val="00BF6E65"/>
    <w:rsid w:val="00C0211B"/>
    <w:rsid w:val="00C02A49"/>
    <w:rsid w:val="00C02CF9"/>
    <w:rsid w:val="00C03E7A"/>
    <w:rsid w:val="00C04E3D"/>
    <w:rsid w:val="00C05904"/>
    <w:rsid w:val="00C06CFA"/>
    <w:rsid w:val="00C070AA"/>
    <w:rsid w:val="00C10AE1"/>
    <w:rsid w:val="00C1117A"/>
    <w:rsid w:val="00C12258"/>
    <w:rsid w:val="00C12B5C"/>
    <w:rsid w:val="00C132C7"/>
    <w:rsid w:val="00C14F00"/>
    <w:rsid w:val="00C151A3"/>
    <w:rsid w:val="00C15C48"/>
    <w:rsid w:val="00C16365"/>
    <w:rsid w:val="00C17394"/>
    <w:rsid w:val="00C22572"/>
    <w:rsid w:val="00C23157"/>
    <w:rsid w:val="00C24385"/>
    <w:rsid w:val="00C24774"/>
    <w:rsid w:val="00C255BF"/>
    <w:rsid w:val="00C333F0"/>
    <w:rsid w:val="00C342A0"/>
    <w:rsid w:val="00C34532"/>
    <w:rsid w:val="00C349AF"/>
    <w:rsid w:val="00C36F73"/>
    <w:rsid w:val="00C37175"/>
    <w:rsid w:val="00C371BB"/>
    <w:rsid w:val="00C40690"/>
    <w:rsid w:val="00C40812"/>
    <w:rsid w:val="00C40F5B"/>
    <w:rsid w:val="00C41427"/>
    <w:rsid w:val="00C41B4C"/>
    <w:rsid w:val="00C41DF9"/>
    <w:rsid w:val="00C43C95"/>
    <w:rsid w:val="00C45937"/>
    <w:rsid w:val="00C45DD5"/>
    <w:rsid w:val="00C4630B"/>
    <w:rsid w:val="00C46FDD"/>
    <w:rsid w:val="00C47338"/>
    <w:rsid w:val="00C50038"/>
    <w:rsid w:val="00C5362F"/>
    <w:rsid w:val="00C538FB"/>
    <w:rsid w:val="00C53ACD"/>
    <w:rsid w:val="00C55F5A"/>
    <w:rsid w:val="00C566AF"/>
    <w:rsid w:val="00C61421"/>
    <w:rsid w:val="00C61F9B"/>
    <w:rsid w:val="00C624AE"/>
    <w:rsid w:val="00C62E88"/>
    <w:rsid w:val="00C62F90"/>
    <w:rsid w:val="00C63580"/>
    <w:rsid w:val="00C65075"/>
    <w:rsid w:val="00C65240"/>
    <w:rsid w:val="00C66014"/>
    <w:rsid w:val="00C66163"/>
    <w:rsid w:val="00C66CDC"/>
    <w:rsid w:val="00C70D25"/>
    <w:rsid w:val="00C7149A"/>
    <w:rsid w:val="00C71ECA"/>
    <w:rsid w:val="00C72DEF"/>
    <w:rsid w:val="00C73123"/>
    <w:rsid w:val="00C733C0"/>
    <w:rsid w:val="00C73E7C"/>
    <w:rsid w:val="00C74EBF"/>
    <w:rsid w:val="00C755B5"/>
    <w:rsid w:val="00C7729A"/>
    <w:rsid w:val="00C80992"/>
    <w:rsid w:val="00C833EA"/>
    <w:rsid w:val="00C84313"/>
    <w:rsid w:val="00C84431"/>
    <w:rsid w:val="00C850BC"/>
    <w:rsid w:val="00C8518F"/>
    <w:rsid w:val="00C85634"/>
    <w:rsid w:val="00C87CF0"/>
    <w:rsid w:val="00C9034A"/>
    <w:rsid w:val="00C91A6F"/>
    <w:rsid w:val="00C91BC6"/>
    <w:rsid w:val="00C92493"/>
    <w:rsid w:val="00C92B58"/>
    <w:rsid w:val="00C92DBF"/>
    <w:rsid w:val="00C9301D"/>
    <w:rsid w:val="00C93C7B"/>
    <w:rsid w:val="00C943D1"/>
    <w:rsid w:val="00C94FF0"/>
    <w:rsid w:val="00C95D4B"/>
    <w:rsid w:val="00C95E30"/>
    <w:rsid w:val="00C97111"/>
    <w:rsid w:val="00C9712D"/>
    <w:rsid w:val="00CA05B2"/>
    <w:rsid w:val="00CA16A6"/>
    <w:rsid w:val="00CA24EE"/>
    <w:rsid w:val="00CA4AA8"/>
    <w:rsid w:val="00CA4D42"/>
    <w:rsid w:val="00CA5121"/>
    <w:rsid w:val="00CA551F"/>
    <w:rsid w:val="00CA560A"/>
    <w:rsid w:val="00CA565A"/>
    <w:rsid w:val="00CA60BB"/>
    <w:rsid w:val="00CA70C4"/>
    <w:rsid w:val="00CA7B29"/>
    <w:rsid w:val="00CB0017"/>
    <w:rsid w:val="00CB0AAA"/>
    <w:rsid w:val="00CB4115"/>
    <w:rsid w:val="00CB45CE"/>
    <w:rsid w:val="00CB52CB"/>
    <w:rsid w:val="00CB5C0A"/>
    <w:rsid w:val="00CC0B47"/>
    <w:rsid w:val="00CC1151"/>
    <w:rsid w:val="00CC28EE"/>
    <w:rsid w:val="00CC29AF"/>
    <w:rsid w:val="00CC56D0"/>
    <w:rsid w:val="00CC7901"/>
    <w:rsid w:val="00CD091C"/>
    <w:rsid w:val="00CD09EC"/>
    <w:rsid w:val="00CD2A3E"/>
    <w:rsid w:val="00CD2C5D"/>
    <w:rsid w:val="00CD2EE6"/>
    <w:rsid w:val="00CD33B8"/>
    <w:rsid w:val="00CD4695"/>
    <w:rsid w:val="00CD4B8B"/>
    <w:rsid w:val="00CD5803"/>
    <w:rsid w:val="00CD5C4A"/>
    <w:rsid w:val="00CD5F7E"/>
    <w:rsid w:val="00CD6294"/>
    <w:rsid w:val="00CD6B2B"/>
    <w:rsid w:val="00CE0201"/>
    <w:rsid w:val="00CE18F7"/>
    <w:rsid w:val="00CE20CC"/>
    <w:rsid w:val="00CE249C"/>
    <w:rsid w:val="00CE30DA"/>
    <w:rsid w:val="00CE48B9"/>
    <w:rsid w:val="00CE494F"/>
    <w:rsid w:val="00CE510C"/>
    <w:rsid w:val="00CE569E"/>
    <w:rsid w:val="00CE6AD2"/>
    <w:rsid w:val="00CE6E55"/>
    <w:rsid w:val="00CE7AE0"/>
    <w:rsid w:val="00CE7C9B"/>
    <w:rsid w:val="00CF050E"/>
    <w:rsid w:val="00CF0CDF"/>
    <w:rsid w:val="00CF152E"/>
    <w:rsid w:val="00CF1794"/>
    <w:rsid w:val="00CF2191"/>
    <w:rsid w:val="00CF28D7"/>
    <w:rsid w:val="00CF2EE4"/>
    <w:rsid w:val="00CF3101"/>
    <w:rsid w:val="00CF4233"/>
    <w:rsid w:val="00CF51C0"/>
    <w:rsid w:val="00CF5EBB"/>
    <w:rsid w:val="00CF6180"/>
    <w:rsid w:val="00CF701D"/>
    <w:rsid w:val="00CF7431"/>
    <w:rsid w:val="00D00229"/>
    <w:rsid w:val="00D027A6"/>
    <w:rsid w:val="00D03ED0"/>
    <w:rsid w:val="00D040EE"/>
    <w:rsid w:val="00D04A27"/>
    <w:rsid w:val="00D04EF5"/>
    <w:rsid w:val="00D05174"/>
    <w:rsid w:val="00D056B6"/>
    <w:rsid w:val="00D05D95"/>
    <w:rsid w:val="00D0615D"/>
    <w:rsid w:val="00D0646A"/>
    <w:rsid w:val="00D066A8"/>
    <w:rsid w:val="00D07EA5"/>
    <w:rsid w:val="00D10E5E"/>
    <w:rsid w:val="00D10FA2"/>
    <w:rsid w:val="00D11197"/>
    <w:rsid w:val="00D11DF9"/>
    <w:rsid w:val="00D128D5"/>
    <w:rsid w:val="00D129BC"/>
    <w:rsid w:val="00D146EB"/>
    <w:rsid w:val="00D14DE8"/>
    <w:rsid w:val="00D15A99"/>
    <w:rsid w:val="00D15EA6"/>
    <w:rsid w:val="00D15F16"/>
    <w:rsid w:val="00D15F44"/>
    <w:rsid w:val="00D15FFF"/>
    <w:rsid w:val="00D1725E"/>
    <w:rsid w:val="00D17822"/>
    <w:rsid w:val="00D2080C"/>
    <w:rsid w:val="00D20E87"/>
    <w:rsid w:val="00D22575"/>
    <w:rsid w:val="00D23195"/>
    <w:rsid w:val="00D23FE0"/>
    <w:rsid w:val="00D2584D"/>
    <w:rsid w:val="00D2664F"/>
    <w:rsid w:val="00D266ED"/>
    <w:rsid w:val="00D26948"/>
    <w:rsid w:val="00D27055"/>
    <w:rsid w:val="00D273F6"/>
    <w:rsid w:val="00D31198"/>
    <w:rsid w:val="00D31A15"/>
    <w:rsid w:val="00D32E24"/>
    <w:rsid w:val="00D32E2F"/>
    <w:rsid w:val="00D3348F"/>
    <w:rsid w:val="00D35754"/>
    <w:rsid w:val="00D36D96"/>
    <w:rsid w:val="00D372D5"/>
    <w:rsid w:val="00D3747F"/>
    <w:rsid w:val="00D37769"/>
    <w:rsid w:val="00D409E1"/>
    <w:rsid w:val="00D417F1"/>
    <w:rsid w:val="00D42958"/>
    <w:rsid w:val="00D429AA"/>
    <w:rsid w:val="00D43240"/>
    <w:rsid w:val="00D4377F"/>
    <w:rsid w:val="00D43ADB"/>
    <w:rsid w:val="00D46156"/>
    <w:rsid w:val="00D50358"/>
    <w:rsid w:val="00D521E8"/>
    <w:rsid w:val="00D530C5"/>
    <w:rsid w:val="00D546B9"/>
    <w:rsid w:val="00D57545"/>
    <w:rsid w:val="00D5768D"/>
    <w:rsid w:val="00D57E45"/>
    <w:rsid w:val="00D57FE4"/>
    <w:rsid w:val="00D60338"/>
    <w:rsid w:val="00D60A0A"/>
    <w:rsid w:val="00D61256"/>
    <w:rsid w:val="00D61323"/>
    <w:rsid w:val="00D61864"/>
    <w:rsid w:val="00D62198"/>
    <w:rsid w:val="00D62203"/>
    <w:rsid w:val="00D64607"/>
    <w:rsid w:val="00D64803"/>
    <w:rsid w:val="00D663B8"/>
    <w:rsid w:val="00D66A2C"/>
    <w:rsid w:val="00D70AC7"/>
    <w:rsid w:val="00D724E5"/>
    <w:rsid w:val="00D74479"/>
    <w:rsid w:val="00D74CCC"/>
    <w:rsid w:val="00D74F74"/>
    <w:rsid w:val="00D76118"/>
    <w:rsid w:val="00D76861"/>
    <w:rsid w:val="00D76D30"/>
    <w:rsid w:val="00D77DB1"/>
    <w:rsid w:val="00D77E04"/>
    <w:rsid w:val="00D812A9"/>
    <w:rsid w:val="00D813B0"/>
    <w:rsid w:val="00D81860"/>
    <w:rsid w:val="00D8198C"/>
    <w:rsid w:val="00D842C8"/>
    <w:rsid w:val="00D87FD3"/>
    <w:rsid w:val="00D9042A"/>
    <w:rsid w:val="00D90858"/>
    <w:rsid w:val="00D913AB"/>
    <w:rsid w:val="00D92026"/>
    <w:rsid w:val="00D920C4"/>
    <w:rsid w:val="00D923D1"/>
    <w:rsid w:val="00D92E22"/>
    <w:rsid w:val="00D93252"/>
    <w:rsid w:val="00D958A3"/>
    <w:rsid w:val="00D95FBF"/>
    <w:rsid w:val="00D96887"/>
    <w:rsid w:val="00D96AC4"/>
    <w:rsid w:val="00D97742"/>
    <w:rsid w:val="00D97E55"/>
    <w:rsid w:val="00DA1825"/>
    <w:rsid w:val="00DA1BD4"/>
    <w:rsid w:val="00DA223E"/>
    <w:rsid w:val="00DA4194"/>
    <w:rsid w:val="00DA4954"/>
    <w:rsid w:val="00DA5AD3"/>
    <w:rsid w:val="00DA64E8"/>
    <w:rsid w:val="00DA7F73"/>
    <w:rsid w:val="00DB22C6"/>
    <w:rsid w:val="00DB2358"/>
    <w:rsid w:val="00DB2E08"/>
    <w:rsid w:val="00DB34B5"/>
    <w:rsid w:val="00DB3A61"/>
    <w:rsid w:val="00DB4C7F"/>
    <w:rsid w:val="00DB4EE8"/>
    <w:rsid w:val="00DB6C7D"/>
    <w:rsid w:val="00DB6EAF"/>
    <w:rsid w:val="00DB7058"/>
    <w:rsid w:val="00DC0A36"/>
    <w:rsid w:val="00DC1439"/>
    <w:rsid w:val="00DC2C9C"/>
    <w:rsid w:val="00DC3C49"/>
    <w:rsid w:val="00DC3E96"/>
    <w:rsid w:val="00DC3FCB"/>
    <w:rsid w:val="00DC4881"/>
    <w:rsid w:val="00DC64BA"/>
    <w:rsid w:val="00DC6FDB"/>
    <w:rsid w:val="00DD044F"/>
    <w:rsid w:val="00DD09B4"/>
    <w:rsid w:val="00DD0A52"/>
    <w:rsid w:val="00DD2258"/>
    <w:rsid w:val="00DD288C"/>
    <w:rsid w:val="00DD2C0F"/>
    <w:rsid w:val="00DD3D3C"/>
    <w:rsid w:val="00DD476E"/>
    <w:rsid w:val="00DD5B65"/>
    <w:rsid w:val="00DD6148"/>
    <w:rsid w:val="00DD65D7"/>
    <w:rsid w:val="00DE0293"/>
    <w:rsid w:val="00DE3F60"/>
    <w:rsid w:val="00DE47B2"/>
    <w:rsid w:val="00DE4F89"/>
    <w:rsid w:val="00DE5F04"/>
    <w:rsid w:val="00DE6BA1"/>
    <w:rsid w:val="00DE7DE7"/>
    <w:rsid w:val="00DF0ADE"/>
    <w:rsid w:val="00DF223A"/>
    <w:rsid w:val="00DF25EC"/>
    <w:rsid w:val="00DF33E9"/>
    <w:rsid w:val="00DF341E"/>
    <w:rsid w:val="00DF41BB"/>
    <w:rsid w:val="00DF5E2D"/>
    <w:rsid w:val="00DF686D"/>
    <w:rsid w:val="00DF77E9"/>
    <w:rsid w:val="00DF7997"/>
    <w:rsid w:val="00DF7CDC"/>
    <w:rsid w:val="00E0074B"/>
    <w:rsid w:val="00E007E9"/>
    <w:rsid w:val="00E00DC3"/>
    <w:rsid w:val="00E00E7A"/>
    <w:rsid w:val="00E018C1"/>
    <w:rsid w:val="00E019AA"/>
    <w:rsid w:val="00E02354"/>
    <w:rsid w:val="00E02655"/>
    <w:rsid w:val="00E0269E"/>
    <w:rsid w:val="00E0334F"/>
    <w:rsid w:val="00E035C4"/>
    <w:rsid w:val="00E03FC3"/>
    <w:rsid w:val="00E05862"/>
    <w:rsid w:val="00E0605C"/>
    <w:rsid w:val="00E06CD2"/>
    <w:rsid w:val="00E10292"/>
    <w:rsid w:val="00E1055E"/>
    <w:rsid w:val="00E10895"/>
    <w:rsid w:val="00E11907"/>
    <w:rsid w:val="00E1191F"/>
    <w:rsid w:val="00E133D4"/>
    <w:rsid w:val="00E1363D"/>
    <w:rsid w:val="00E143B7"/>
    <w:rsid w:val="00E159FA"/>
    <w:rsid w:val="00E15C71"/>
    <w:rsid w:val="00E15DFC"/>
    <w:rsid w:val="00E17AAD"/>
    <w:rsid w:val="00E2049B"/>
    <w:rsid w:val="00E207A1"/>
    <w:rsid w:val="00E21284"/>
    <w:rsid w:val="00E21C3E"/>
    <w:rsid w:val="00E24AF3"/>
    <w:rsid w:val="00E25736"/>
    <w:rsid w:val="00E259BA"/>
    <w:rsid w:val="00E25D6A"/>
    <w:rsid w:val="00E26852"/>
    <w:rsid w:val="00E26C63"/>
    <w:rsid w:val="00E26CA4"/>
    <w:rsid w:val="00E2702A"/>
    <w:rsid w:val="00E279D8"/>
    <w:rsid w:val="00E27BAB"/>
    <w:rsid w:val="00E310DD"/>
    <w:rsid w:val="00E31139"/>
    <w:rsid w:val="00E316D7"/>
    <w:rsid w:val="00E3273C"/>
    <w:rsid w:val="00E32D0F"/>
    <w:rsid w:val="00E33446"/>
    <w:rsid w:val="00E3478D"/>
    <w:rsid w:val="00E347F7"/>
    <w:rsid w:val="00E34820"/>
    <w:rsid w:val="00E34D2A"/>
    <w:rsid w:val="00E350E3"/>
    <w:rsid w:val="00E3666C"/>
    <w:rsid w:val="00E36F12"/>
    <w:rsid w:val="00E40A52"/>
    <w:rsid w:val="00E411F8"/>
    <w:rsid w:val="00E4465F"/>
    <w:rsid w:val="00E45330"/>
    <w:rsid w:val="00E4587C"/>
    <w:rsid w:val="00E469A5"/>
    <w:rsid w:val="00E47D99"/>
    <w:rsid w:val="00E50CB0"/>
    <w:rsid w:val="00E51FE7"/>
    <w:rsid w:val="00E524FF"/>
    <w:rsid w:val="00E525C1"/>
    <w:rsid w:val="00E5272C"/>
    <w:rsid w:val="00E52EC9"/>
    <w:rsid w:val="00E54427"/>
    <w:rsid w:val="00E546E0"/>
    <w:rsid w:val="00E54D05"/>
    <w:rsid w:val="00E5591F"/>
    <w:rsid w:val="00E56A33"/>
    <w:rsid w:val="00E56B38"/>
    <w:rsid w:val="00E57F67"/>
    <w:rsid w:val="00E60444"/>
    <w:rsid w:val="00E60ACD"/>
    <w:rsid w:val="00E60DC5"/>
    <w:rsid w:val="00E61B3F"/>
    <w:rsid w:val="00E623E6"/>
    <w:rsid w:val="00E63735"/>
    <w:rsid w:val="00E63748"/>
    <w:rsid w:val="00E63988"/>
    <w:rsid w:val="00E6427E"/>
    <w:rsid w:val="00E65863"/>
    <w:rsid w:val="00E65C36"/>
    <w:rsid w:val="00E65FEE"/>
    <w:rsid w:val="00E664A7"/>
    <w:rsid w:val="00E66FF5"/>
    <w:rsid w:val="00E6793B"/>
    <w:rsid w:val="00E679A5"/>
    <w:rsid w:val="00E712AD"/>
    <w:rsid w:val="00E72BFB"/>
    <w:rsid w:val="00E7395F"/>
    <w:rsid w:val="00E73B4E"/>
    <w:rsid w:val="00E74552"/>
    <w:rsid w:val="00E75242"/>
    <w:rsid w:val="00E76065"/>
    <w:rsid w:val="00E76421"/>
    <w:rsid w:val="00E769C8"/>
    <w:rsid w:val="00E76FC4"/>
    <w:rsid w:val="00E80DF1"/>
    <w:rsid w:val="00E81D89"/>
    <w:rsid w:val="00E825DF"/>
    <w:rsid w:val="00E84D57"/>
    <w:rsid w:val="00E84DB3"/>
    <w:rsid w:val="00E85137"/>
    <w:rsid w:val="00E85CBB"/>
    <w:rsid w:val="00E86297"/>
    <w:rsid w:val="00E8678F"/>
    <w:rsid w:val="00E86ABD"/>
    <w:rsid w:val="00E9063A"/>
    <w:rsid w:val="00E925DB"/>
    <w:rsid w:val="00E92CF8"/>
    <w:rsid w:val="00E95277"/>
    <w:rsid w:val="00E97340"/>
    <w:rsid w:val="00E97ABD"/>
    <w:rsid w:val="00EA0261"/>
    <w:rsid w:val="00EA03CB"/>
    <w:rsid w:val="00EA1995"/>
    <w:rsid w:val="00EA2302"/>
    <w:rsid w:val="00EA2684"/>
    <w:rsid w:val="00EA36DA"/>
    <w:rsid w:val="00EA3778"/>
    <w:rsid w:val="00EA3C5E"/>
    <w:rsid w:val="00EA3F70"/>
    <w:rsid w:val="00EA6758"/>
    <w:rsid w:val="00EA6F1E"/>
    <w:rsid w:val="00EA798D"/>
    <w:rsid w:val="00EB02A3"/>
    <w:rsid w:val="00EB0571"/>
    <w:rsid w:val="00EB1E30"/>
    <w:rsid w:val="00EB23ED"/>
    <w:rsid w:val="00EB25E2"/>
    <w:rsid w:val="00EB27E4"/>
    <w:rsid w:val="00EB2C3A"/>
    <w:rsid w:val="00EB3626"/>
    <w:rsid w:val="00EB443F"/>
    <w:rsid w:val="00EB55E5"/>
    <w:rsid w:val="00EB5DB9"/>
    <w:rsid w:val="00EB7C84"/>
    <w:rsid w:val="00EB7F08"/>
    <w:rsid w:val="00EC24B0"/>
    <w:rsid w:val="00EC28FD"/>
    <w:rsid w:val="00EC29D8"/>
    <w:rsid w:val="00EC5C45"/>
    <w:rsid w:val="00EC66BA"/>
    <w:rsid w:val="00EC6F97"/>
    <w:rsid w:val="00EC7A75"/>
    <w:rsid w:val="00ED0313"/>
    <w:rsid w:val="00ED140C"/>
    <w:rsid w:val="00ED3322"/>
    <w:rsid w:val="00ED435D"/>
    <w:rsid w:val="00ED5695"/>
    <w:rsid w:val="00ED6A8C"/>
    <w:rsid w:val="00ED6FCE"/>
    <w:rsid w:val="00ED74DE"/>
    <w:rsid w:val="00ED790F"/>
    <w:rsid w:val="00EE0019"/>
    <w:rsid w:val="00EE0588"/>
    <w:rsid w:val="00EE1553"/>
    <w:rsid w:val="00EE1D5D"/>
    <w:rsid w:val="00EE2802"/>
    <w:rsid w:val="00EE303E"/>
    <w:rsid w:val="00EE3484"/>
    <w:rsid w:val="00EE52DC"/>
    <w:rsid w:val="00EE53F8"/>
    <w:rsid w:val="00EE621F"/>
    <w:rsid w:val="00EE685B"/>
    <w:rsid w:val="00EE7005"/>
    <w:rsid w:val="00EF06A8"/>
    <w:rsid w:val="00EF0E59"/>
    <w:rsid w:val="00EF110B"/>
    <w:rsid w:val="00EF2074"/>
    <w:rsid w:val="00EF3E25"/>
    <w:rsid w:val="00EF52DF"/>
    <w:rsid w:val="00EF5436"/>
    <w:rsid w:val="00EF6AA9"/>
    <w:rsid w:val="00EF6B7F"/>
    <w:rsid w:val="00EF7C91"/>
    <w:rsid w:val="00F00B27"/>
    <w:rsid w:val="00F0157B"/>
    <w:rsid w:val="00F05522"/>
    <w:rsid w:val="00F05815"/>
    <w:rsid w:val="00F05906"/>
    <w:rsid w:val="00F073D4"/>
    <w:rsid w:val="00F1046A"/>
    <w:rsid w:val="00F11A99"/>
    <w:rsid w:val="00F13391"/>
    <w:rsid w:val="00F135DD"/>
    <w:rsid w:val="00F14741"/>
    <w:rsid w:val="00F1493C"/>
    <w:rsid w:val="00F1700D"/>
    <w:rsid w:val="00F173AB"/>
    <w:rsid w:val="00F17607"/>
    <w:rsid w:val="00F20D12"/>
    <w:rsid w:val="00F213A7"/>
    <w:rsid w:val="00F218B2"/>
    <w:rsid w:val="00F223BD"/>
    <w:rsid w:val="00F22667"/>
    <w:rsid w:val="00F22683"/>
    <w:rsid w:val="00F24344"/>
    <w:rsid w:val="00F2592D"/>
    <w:rsid w:val="00F2715C"/>
    <w:rsid w:val="00F27E2D"/>
    <w:rsid w:val="00F30CA3"/>
    <w:rsid w:val="00F31D54"/>
    <w:rsid w:val="00F32025"/>
    <w:rsid w:val="00F321F9"/>
    <w:rsid w:val="00F32C4F"/>
    <w:rsid w:val="00F3375D"/>
    <w:rsid w:val="00F34126"/>
    <w:rsid w:val="00F34599"/>
    <w:rsid w:val="00F34E25"/>
    <w:rsid w:val="00F35068"/>
    <w:rsid w:val="00F35485"/>
    <w:rsid w:val="00F431D5"/>
    <w:rsid w:val="00F440F3"/>
    <w:rsid w:val="00F4494A"/>
    <w:rsid w:val="00F45E06"/>
    <w:rsid w:val="00F46931"/>
    <w:rsid w:val="00F46A6A"/>
    <w:rsid w:val="00F502A4"/>
    <w:rsid w:val="00F502B8"/>
    <w:rsid w:val="00F5078B"/>
    <w:rsid w:val="00F531BF"/>
    <w:rsid w:val="00F53E3C"/>
    <w:rsid w:val="00F547B0"/>
    <w:rsid w:val="00F55302"/>
    <w:rsid w:val="00F55D3E"/>
    <w:rsid w:val="00F55FD6"/>
    <w:rsid w:val="00F56F36"/>
    <w:rsid w:val="00F571D5"/>
    <w:rsid w:val="00F603A6"/>
    <w:rsid w:val="00F60C83"/>
    <w:rsid w:val="00F61172"/>
    <w:rsid w:val="00F61BC1"/>
    <w:rsid w:val="00F659BE"/>
    <w:rsid w:val="00F67493"/>
    <w:rsid w:val="00F67934"/>
    <w:rsid w:val="00F7077A"/>
    <w:rsid w:val="00F71717"/>
    <w:rsid w:val="00F717EA"/>
    <w:rsid w:val="00F71E07"/>
    <w:rsid w:val="00F72263"/>
    <w:rsid w:val="00F722CD"/>
    <w:rsid w:val="00F72F79"/>
    <w:rsid w:val="00F73BBE"/>
    <w:rsid w:val="00F75000"/>
    <w:rsid w:val="00F75903"/>
    <w:rsid w:val="00F75B0B"/>
    <w:rsid w:val="00F8057C"/>
    <w:rsid w:val="00F80919"/>
    <w:rsid w:val="00F81078"/>
    <w:rsid w:val="00F819CE"/>
    <w:rsid w:val="00F8203E"/>
    <w:rsid w:val="00F823E6"/>
    <w:rsid w:val="00F82C8E"/>
    <w:rsid w:val="00F83D09"/>
    <w:rsid w:val="00F85528"/>
    <w:rsid w:val="00F87184"/>
    <w:rsid w:val="00F87C71"/>
    <w:rsid w:val="00F905B2"/>
    <w:rsid w:val="00F90A47"/>
    <w:rsid w:val="00F9107F"/>
    <w:rsid w:val="00F92839"/>
    <w:rsid w:val="00F94F6A"/>
    <w:rsid w:val="00F94F7B"/>
    <w:rsid w:val="00F96310"/>
    <w:rsid w:val="00F9748D"/>
    <w:rsid w:val="00F97B06"/>
    <w:rsid w:val="00F97E89"/>
    <w:rsid w:val="00FA0241"/>
    <w:rsid w:val="00FA074C"/>
    <w:rsid w:val="00FA0C40"/>
    <w:rsid w:val="00FA2C76"/>
    <w:rsid w:val="00FA2D98"/>
    <w:rsid w:val="00FA2DDB"/>
    <w:rsid w:val="00FA79F4"/>
    <w:rsid w:val="00FA7C1F"/>
    <w:rsid w:val="00FB03A7"/>
    <w:rsid w:val="00FB12D8"/>
    <w:rsid w:val="00FB51FB"/>
    <w:rsid w:val="00FB5801"/>
    <w:rsid w:val="00FB7D68"/>
    <w:rsid w:val="00FB7F53"/>
    <w:rsid w:val="00FC11F0"/>
    <w:rsid w:val="00FC1702"/>
    <w:rsid w:val="00FC1AC8"/>
    <w:rsid w:val="00FC325E"/>
    <w:rsid w:val="00FC41C4"/>
    <w:rsid w:val="00FC6022"/>
    <w:rsid w:val="00FC69FA"/>
    <w:rsid w:val="00FC6AC3"/>
    <w:rsid w:val="00FC737B"/>
    <w:rsid w:val="00FC7515"/>
    <w:rsid w:val="00FD08F6"/>
    <w:rsid w:val="00FD0F34"/>
    <w:rsid w:val="00FD21F7"/>
    <w:rsid w:val="00FD25ED"/>
    <w:rsid w:val="00FD2B80"/>
    <w:rsid w:val="00FD2B94"/>
    <w:rsid w:val="00FD335E"/>
    <w:rsid w:val="00FD364F"/>
    <w:rsid w:val="00FD486A"/>
    <w:rsid w:val="00FD5364"/>
    <w:rsid w:val="00FD5699"/>
    <w:rsid w:val="00FD5E20"/>
    <w:rsid w:val="00FE003E"/>
    <w:rsid w:val="00FE0D34"/>
    <w:rsid w:val="00FE19E2"/>
    <w:rsid w:val="00FE2053"/>
    <w:rsid w:val="00FE2A11"/>
    <w:rsid w:val="00FE2D32"/>
    <w:rsid w:val="00FE30C4"/>
    <w:rsid w:val="00FE3C1F"/>
    <w:rsid w:val="00FE541C"/>
    <w:rsid w:val="00FE6CBC"/>
    <w:rsid w:val="00FF05AF"/>
    <w:rsid w:val="00FF0944"/>
    <w:rsid w:val="00FF17BF"/>
    <w:rsid w:val="00FF2854"/>
    <w:rsid w:val="00FF48F0"/>
    <w:rsid w:val="00FF528D"/>
    <w:rsid w:val="00FF5461"/>
    <w:rsid w:val="00FF5C37"/>
    <w:rsid w:val="00FF6161"/>
    <w:rsid w:val="00FF65DD"/>
    <w:rsid w:val="00FF68EF"/>
    <w:rsid w:val="00FF6C59"/>
    <w:rsid w:val="00FF757C"/>
    <w:rsid w:val="00FF7922"/>
    <w:rsid w:val="01A39363"/>
    <w:rsid w:val="02689188"/>
    <w:rsid w:val="036C36F3"/>
    <w:rsid w:val="0703B41E"/>
    <w:rsid w:val="08392576"/>
    <w:rsid w:val="09A60824"/>
    <w:rsid w:val="0AC6AE05"/>
    <w:rsid w:val="0B5FC8C4"/>
    <w:rsid w:val="0E976986"/>
    <w:rsid w:val="0F40D8B5"/>
    <w:rsid w:val="110F9CE7"/>
    <w:rsid w:val="12BF3EC2"/>
    <w:rsid w:val="1ABCEBD7"/>
    <w:rsid w:val="1F7136CA"/>
    <w:rsid w:val="1FCAC51B"/>
    <w:rsid w:val="210DEF7D"/>
    <w:rsid w:val="211241FA"/>
    <w:rsid w:val="211304FE"/>
    <w:rsid w:val="21666C37"/>
    <w:rsid w:val="21FC5D36"/>
    <w:rsid w:val="244AA5C0"/>
    <w:rsid w:val="26285C6E"/>
    <w:rsid w:val="2BA81309"/>
    <w:rsid w:val="2E7CC5B9"/>
    <w:rsid w:val="30811B5A"/>
    <w:rsid w:val="31D21300"/>
    <w:rsid w:val="33A33D22"/>
    <w:rsid w:val="33C72105"/>
    <w:rsid w:val="3516987B"/>
    <w:rsid w:val="3547104C"/>
    <w:rsid w:val="374D10E3"/>
    <w:rsid w:val="37F38ABA"/>
    <w:rsid w:val="39105226"/>
    <w:rsid w:val="3A833C17"/>
    <w:rsid w:val="3D00C849"/>
    <w:rsid w:val="3D59129D"/>
    <w:rsid w:val="4034DD36"/>
    <w:rsid w:val="4241BAA6"/>
    <w:rsid w:val="42CEE55A"/>
    <w:rsid w:val="42E1587A"/>
    <w:rsid w:val="431360F5"/>
    <w:rsid w:val="438B106B"/>
    <w:rsid w:val="454EE5A8"/>
    <w:rsid w:val="4580D9C6"/>
    <w:rsid w:val="4657E775"/>
    <w:rsid w:val="49182D1E"/>
    <w:rsid w:val="4CFFDF4B"/>
    <w:rsid w:val="4F12F44E"/>
    <w:rsid w:val="511143B6"/>
    <w:rsid w:val="5513A16C"/>
    <w:rsid w:val="5558E340"/>
    <w:rsid w:val="5A2141F4"/>
    <w:rsid w:val="5EB41992"/>
    <w:rsid w:val="6155B208"/>
    <w:rsid w:val="62A5A0AA"/>
    <w:rsid w:val="630CF42D"/>
    <w:rsid w:val="63489ABB"/>
    <w:rsid w:val="63A641BD"/>
    <w:rsid w:val="653CF2D7"/>
    <w:rsid w:val="671F18A1"/>
    <w:rsid w:val="6887574A"/>
    <w:rsid w:val="69AA94F4"/>
    <w:rsid w:val="6AD065B1"/>
    <w:rsid w:val="6CD0DA8F"/>
    <w:rsid w:val="6CD393B9"/>
    <w:rsid w:val="6CE08C67"/>
    <w:rsid w:val="6D5DDFF9"/>
    <w:rsid w:val="6E2100FE"/>
    <w:rsid w:val="718734DB"/>
    <w:rsid w:val="73357930"/>
    <w:rsid w:val="7366AE20"/>
    <w:rsid w:val="78AAF947"/>
    <w:rsid w:val="7A25B7BA"/>
    <w:rsid w:val="7B642E1C"/>
    <w:rsid w:val="7EB18AF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E20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2F1A"/>
    <w:pPr>
      <w:spacing w:line="240" w:lineRule="auto"/>
    </w:pPr>
    <w:rPr>
      <w:rFonts w:ascii="Times New Roman" w:eastAsiaTheme="minorEastAsia" w:hAnsi="Times New Roman"/>
      <w:sz w:val="24"/>
    </w:rPr>
  </w:style>
  <w:style w:type="paragraph" w:styleId="Heading1">
    <w:name w:val="heading 1"/>
    <w:basedOn w:val="Normal"/>
    <w:next w:val="Normal"/>
    <w:link w:val="Heading1Char"/>
    <w:uiPriority w:val="9"/>
    <w:qFormat/>
    <w:rsid w:val="004F2371"/>
    <w:pPr>
      <w:keepNext/>
      <w:keepLines/>
      <w:numPr>
        <w:numId w:val="7"/>
      </w:numPr>
      <w:spacing w:after="60"/>
      <w:outlineLvl w:val="0"/>
    </w:pPr>
    <w:rPr>
      <w:rFonts w:eastAsiaTheme="majorEastAsia" w:cstheme="majorBidi"/>
      <w:b/>
      <w:szCs w:val="36"/>
    </w:rPr>
  </w:style>
  <w:style w:type="paragraph" w:styleId="Heading2">
    <w:name w:val="heading 2"/>
    <w:basedOn w:val="Normal"/>
    <w:next w:val="Normal"/>
    <w:link w:val="Heading2Char"/>
    <w:uiPriority w:val="9"/>
    <w:unhideWhenUsed/>
    <w:qFormat/>
    <w:rsid w:val="004F2371"/>
    <w:pPr>
      <w:keepNext/>
      <w:keepLines/>
      <w:numPr>
        <w:numId w:val="35"/>
      </w:numPr>
      <w:spacing w:after="60"/>
      <w:outlineLvl w:val="1"/>
    </w:pPr>
    <w:rPr>
      <w:rFonts w:eastAsiaTheme="majorEastAsia" w:cstheme="majorBidi"/>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E4D3E"/>
    <w:pPr>
      <w:tabs>
        <w:tab w:val="center" w:pos="4680"/>
        <w:tab w:val="right" w:pos="9360"/>
      </w:tabs>
      <w:spacing w:after="0"/>
    </w:pPr>
  </w:style>
  <w:style w:type="character" w:customStyle="1" w:styleId="FooterChar">
    <w:name w:val="Footer Char"/>
    <w:basedOn w:val="DefaultParagraphFont"/>
    <w:link w:val="Footer"/>
    <w:uiPriority w:val="99"/>
    <w:rsid w:val="00D920C4"/>
    <w:rPr>
      <w:rFonts w:eastAsiaTheme="minorEastAsia"/>
    </w:rPr>
  </w:style>
  <w:style w:type="paragraph" w:styleId="ListParagraph">
    <w:name w:val="List Paragraph"/>
    <w:basedOn w:val="Normal"/>
    <w:uiPriority w:val="34"/>
    <w:qFormat/>
    <w:rsid w:val="00D920C4"/>
    <w:pPr>
      <w:ind w:left="720"/>
      <w:contextualSpacing/>
    </w:pPr>
  </w:style>
  <w:style w:type="character" w:styleId="Hyperlink">
    <w:name w:val="Hyperlink"/>
    <w:basedOn w:val="DefaultParagraphFont"/>
    <w:uiPriority w:val="99"/>
    <w:unhideWhenUsed/>
    <w:rsid w:val="000B6148"/>
    <w:rPr>
      <w:color w:val="0563C1" w:themeColor="hyperlink"/>
      <w:u w:val="single"/>
    </w:rPr>
  </w:style>
  <w:style w:type="paragraph" w:styleId="NormalWeb">
    <w:name w:val="Normal (Web)"/>
    <w:basedOn w:val="Normal"/>
    <w:uiPriority w:val="99"/>
    <w:unhideWhenUsed/>
    <w:rsid w:val="000E1C5C"/>
    <w:pPr>
      <w:spacing w:after="150"/>
    </w:pPr>
    <w:rPr>
      <w:rFonts w:eastAsia="Times New Roman" w:cs="Times New Roman"/>
    </w:rPr>
  </w:style>
  <w:style w:type="paragraph" w:styleId="BalloonText">
    <w:name w:val="Balloon Text"/>
    <w:basedOn w:val="Normal"/>
    <w:link w:val="BalloonTextChar"/>
    <w:uiPriority w:val="99"/>
    <w:semiHidden/>
    <w:unhideWhenUsed/>
    <w:rsid w:val="00780F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0FB3"/>
    <w:rPr>
      <w:rFonts w:ascii="Segoe UI" w:eastAsiaTheme="minorEastAsia" w:hAnsi="Segoe UI" w:cs="Segoe UI"/>
      <w:sz w:val="18"/>
      <w:szCs w:val="18"/>
    </w:rPr>
  </w:style>
  <w:style w:type="paragraph" w:styleId="CommentText">
    <w:name w:val="annotation text"/>
    <w:basedOn w:val="Normal"/>
    <w:link w:val="CommentTextChar"/>
    <w:uiPriority w:val="99"/>
    <w:unhideWhenUsed/>
    <w:rsid w:val="00B90940"/>
    <w:rPr>
      <w:sz w:val="20"/>
      <w:szCs w:val="20"/>
    </w:rPr>
  </w:style>
  <w:style w:type="character" w:customStyle="1" w:styleId="CommentTextChar">
    <w:name w:val="Comment Text Char"/>
    <w:basedOn w:val="DefaultParagraphFont"/>
    <w:link w:val="CommentText"/>
    <w:uiPriority w:val="99"/>
    <w:rsid w:val="008435CE"/>
    <w:rPr>
      <w:rFonts w:eastAsiaTheme="minorEastAsia"/>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E5272C"/>
    <w:rPr>
      <w:b/>
      <w:bCs/>
    </w:rPr>
  </w:style>
  <w:style w:type="character" w:customStyle="1" w:styleId="CommentSubjectChar">
    <w:name w:val="Comment Subject Char"/>
    <w:basedOn w:val="CommentTextChar"/>
    <w:link w:val="CommentSubject"/>
    <w:uiPriority w:val="99"/>
    <w:semiHidden/>
    <w:rsid w:val="00E5272C"/>
    <w:rPr>
      <w:rFonts w:ascii="Times New Roman" w:eastAsiaTheme="minorEastAsia" w:hAnsi="Times New Roman" w:cs="Times New Roman"/>
      <w:b/>
      <w:bCs/>
      <w:color w:val="000000"/>
      <w:sz w:val="20"/>
      <w:szCs w:val="20"/>
    </w:rPr>
  </w:style>
  <w:style w:type="paragraph" w:customStyle="1" w:styleId="Default">
    <w:name w:val="Default"/>
    <w:rsid w:val="00D066A8"/>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Header">
    <w:name w:val="header"/>
    <w:basedOn w:val="Normal"/>
    <w:link w:val="HeaderChar"/>
    <w:uiPriority w:val="99"/>
    <w:unhideWhenUsed/>
    <w:rsid w:val="004E4D3E"/>
    <w:pPr>
      <w:tabs>
        <w:tab w:val="center" w:pos="4680"/>
        <w:tab w:val="right" w:pos="9360"/>
      </w:tabs>
      <w:spacing w:after="0"/>
    </w:pPr>
  </w:style>
  <w:style w:type="character" w:customStyle="1" w:styleId="HeaderChar">
    <w:name w:val="Header Char"/>
    <w:basedOn w:val="DefaultParagraphFont"/>
    <w:link w:val="Header"/>
    <w:uiPriority w:val="99"/>
    <w:rsid w:val="008D6F5E"/>
    <w:rPr>
      <w:rFonts w:eastAsiaTheme="minorEastAsia"/>
    </w:rPr>
  </w:style>
  <w:style w:type="paragraph" w:styleId="Revision">
    <w:name w:val="Revision"/>
    <w:hidden/>
    <w:uiPriority w:val="99"/>
    <w:semiHidden/>
    <w:rsid w:val="00B74121"/>
    <w:pPr>
      <w:spacing w:after="0" w:line="240" w:lineRule="auto"/>
    </w:pPr>
    <w:rPr>
      <w:rFonts w:eastAsiaTheme="minorEastAsia"/>
    </w:rPr>
  </w:style>
  <w:style w:type="character" w:styleId="UnresolvedMention">
    <w:name w:val="Unresolved Mention"/>
    <w:basedOn w:val="DefaultParagraphFont"/>
    <w:uiPriority w:val="99"/>
    <w:semiHidden/>
    <w:unhideWhenUsed/>
    <w:rsid w:val="00FF05AF"/>
    <w:rPr>
      <w:color w:val="808080"/>
      <w:shd w:val="clear" w:color="auto" w:fill="E6E6E6"/>
    </w:rPr>
  </w:style>
  <w:style w:type="character" w:customStyle="1" w:styleId="Heading1Char">
    <w:name w:val="Heading 1 Char"/>
    <w:basedOn w:val="DefaultParagraphFont"/>
    <w:link w:val="Heading1"/>
    <w:uiPriority w:val="9"/>
    <w:rsid w:val="004F2371"/>
    <w:rPr>
      <w:rFonts w:ascii="Times New Roman" w:eastAsiaTheme="majorEastAsia" w:hAnsi="Times New Roman" w:cstheme="majorBidi"/>
      <w:b/>
      <w:sz w:val="24"/>
      <w:szCs w:val="36"/>
    </w:rPr>
  </w:style>
  <w:style w:type="paragraph" w:customStyle="1" w:styleId="MainText">
    <w:name w:val="MainText"/>
    <w:basedOn w:val="Normal"/>
    <w:link w:val="MainTextChar"/>
    <w:qFormat/>
    <w:rsid w:val="0001608B"/>
    <w:pPr>
      <w:spacing w:line="408" w:lineRule="auto"/>
    </w:pPr>
    <w:rPr>
      <w:rFonts w:cs="Times New Roman"/>
      <w:kern w:val="16"/>
      <w:lang w:bidi="en-US"/>
      <w14:ligatures w14:val="standard"/>
    </w:rPr>
  </w:style>
  <w:style w:type="character" w:customStyle="1" w:styleId="MainTextChar">
    <w:name w:val="MainText Char"/>
    <w:basedOn w:val="DefaultParagraphFont"/>
    <w:link w:val="MainText"/>
    <w:rsid w:val="0001608B"/>
    <w:rPr>
      <w:rFonts w:ascii="Times New Roman" w:eastAsiaTheme="minorEastAsia" w:hAnsi="Times New Roman" w:cs="Times New Roman"/>
      <w:kern w:val="16"/>
      <w:sz w:val="24"/>
      <w:szCs w:val="24"/>
      <w:lang w:bidi="en-US"/>
      <w14:ligatures w14:val="standard"/>
    </w:rPr>
  </w:style>
  <w:style w:type="character" w:styleId="FootnoteReference">
    <w:name w:val="footnote reference"/>
    <w:basedOn w:val="DefaultParagraphFont"/>
    <w:unhideWhenUsed/>
    <w:rsid w:val="0001608B"/>
    <w:rPr>
      <w:vertAlign w:val="superscript"/>
    </w:rPr>
  </w:style>
  <w:style w:type="character" w:customStyle="1" w:styleId="hgkelc">
    <w:name w:val="hgkelc"/>
    <w:basedOn w:val="DefaultParagraphFont"/>
    <w:rsid w:val="00911766"/>
  </w:style>
  <w:style w:type="character" w:styleId="Emphasis">
    <w:name w:val="Emphasis"/>
    <w:basedOn w:val="DefaultParagraphFont"/>
    <w:uiPriority w:val="20"/>
    <w:qFormat/>
    <w:rsid w:val="00704EE0"/>
    <w:rPr>
      <w:i/>
      <w:iCs/>
    </w:rPr>
  </w:style>
  <w:style w:type="character" w:customStyle="1" w:styleId="Heading2Char">
    <w:name w:val="Heading 2 Char"/>
    <w:basedOn w:val="DefaultParagraphFont"/>
    <w:link w:val="Heading2"/>
    <w:uiPriority w:val="9"/>
    <w:rsid w:val="004F2371"/>
    <w:rPr>
      <w:rFonts w:ascii="Times New Roman" w:eastAsiaTheme="majorEastAsia" w:hAnsi="Times New Roman" w:cstheme="majorBidi"/>
      <w:b/>
      <w:sz w:val="24"/>
      <w:szCs w:val="32"/>
    </w:rPr>
  </w:style>
  <w:style w:type="paragraph" w:customStyle="1" w:styleId="paragraph">
    <w:name w:val="paragraph"/>
    <w:basedOn w:val="Normal"/>
    <w:rsid w:val="00B90940"/>
    <w:pPr>
      <w:spacing w:before="100" w:beforeAutospacing="1" w:after="100" w:afterAutospacing="1"/>
    </w:pPr>
    <w:rPr>
      <w:rFonts w:eastAsia="Times New Roman" w:cs="Times New Roman"/>
      <w:szCs w:val="24"/>
    </w:rPr>
  </w:style>
  <w:style w:type="character" w:customStyle="1" w:styleId="normaltextrun">
    <w:name w:val="normaltextrun"/>
    <w:basedOn w:val="DefaultParagraphFont"/>
    <w:rsid w:val="003D3AC2"/>
  </w:style>
  <w:style w:type="character" w:customStyle="1" w:styleId="eop">
    <w:name w:val="eop"/>
    <w:basedOn w:val="DefaultParagraphFont"/>
    <w:rsid w:val="003D3AC2"/>
  </w:style>
  <w:style w:type="paragraph" w:styleId="BodyText">
    <w:name w:val="Body Text"/>
    <w:basedOn w:val="Normal"/>
    <w:link w:val="BodyTextChar"/>
    <w:uiPriority w:val="1"/>
    <w:rsid w:val="00B90940"/>
    <w:pPr>
      <w:ind w:left="140"/>
    </w:pPr>
    <w:rPr>
      <w:rFonts w:eastAsia="Times New Roman" w:cs="Times New Roman"/>
      <w:szCs w:val="24"/>
    </w:rPr>
  </w:style>
  <w:style w:type="character" w:customStyle="1" w:styleId="BodyTextChar">
    <w:name w:val="Body Text Char"/>
    <w:basedOn w:val="DefaultParagraphFont"/>
    <w:link w:val="BodyText"/>
    <w:uiPriority w:val="1"/>
    <w:rsid w:val="000D0570"/>
    <w:rPr>
      <w:rFonts w:ascii="Times New Roman" w:eastAsia="Times New Roman" w:hAnsi="Times New Roman" w:cs="Times New Roman"/>
      <w:sz w:val="24"/>
      <w:szCs w:val="24"/>
    </w:rPr>
  </w:style>
  <w:style w:type="paragraph" w:customStyle="1" w:styleId="TableParagraph">
    <w:name w:val="Table Paragraph"/>
    <w:basedOn w:val="Normal"/>
    <w:uiPriority w:val="1"/>
    <w:rsid w:val="0052449B"/>
  </w:style>
  <w:style w:type="character" w:customStyle="1" w:styleId="apple-converted-space">
    <w:name w:val="apple-converted-space"/>
    <w:basedOn w:val="DefaultParagraphFont"/>
    <w:rsid w:val="00073968"/>
  </w:style>
  <w:style w:type="character" w:styleId="FollowedHyperlink">
    <w:name w:val="FollowedHyperlink"/>
    <w:basedOn w:val="DefaultParagraphFont"/>
    <w:uiPriority w:val="99"/>
    <w:semiHidden/>
    <w:unhideWhenUsed/>
    <w:rsid w:val="001C3009"/>
    <w:rPr>
      <w:color w:val="954F72" w:themeColor="followedHyperlink"/>
      <w:u w:val="single"/>
    </w:rPr>
  </w:style>
  <w:style w:type="paragraph" w:styleId="Title">
    <w:name w:val="Title"/>
    <w:basedOn w:val="Normal"/>
    <w:next w:val="Normal"/>
    <w:link w:val="TitleChar"/>
    <w:uiPriority w:val="10"/>
    <w:qFormat/>
    <w:rsid w:val="00D0646A"/>
    <w:pPr>
      <w:spacing w:after="0"/>
      <w:contextualSpacing/>
      <w:jc w:val="center"/>
    </w:pPr>
    <w:rPr>
      <w:rFonts w:eastAsiaTheme="majorEastAsia" w:cstheme="majorBidi"/>
      <w:b/>
      <w:szCs w:val="56"/>
    </w:rPr>
  </w:style>
  <w:style w:type="character" w:customStyle="1" w:styleId="TitleChar">
    <w:name w:val="Title Char"/>
    <w:basedOn w:val="DefaultParagraphFont"/>
    <w:link w:val="Title"/>
    <w:uiPriority w:val="10"/>
    <w:rsid w:val="00D0646A"/>
    <w:rPr>
      <w:rFonts w:ascii="Times New Roman" w:eastAsiaTheme="majorEastAsia" w:hAnsi="Times New Roman" w:cstheme="majorBidi"/>
      <w:b/>
      <w:sz w:val="24"/>
      <w:szCs w:val="56"/>
    </w:rPr>
  </w:style>
  <w:style w:type="paragraph" w:customStyle="1" w:styleId="hd1-paragraph">
    <w:name w:val="hd1-paragraph"/>
    <w:basedOn w:val="Normal"/>
    <w:rsid w:val="00446AC4"/>
    <w:pPr>
      <w:spacing w:before="100" w:beforeAutospacing="1" w:after="100" w:afterAutospacing="1"/>
    </w:pPr>
    <w:rPr>
      <w:rFonts w:eastAsia="Times New Roman" w:cs="Times New Roman"/>
      <w:szCs w:val="24"/>
    </w:rPr>
  </w:style>
  <w:style w:type="paragraph" w:customStyle="1" w:styleId="indent-1">
    <w:name w:val="indent-1"/>
    <w:basedOn w:val="Normal"/>
    <w:rsid w:val="00446AC4"/>
    <w:pPr>
      <w:spacing w:before="100" w:beforeAutospacing="1" w:after="100" w:afterAutospacing="1"/>
    </w:pPr>
    <w:rPr>
      <w:rFonts w:eastAsia="Times New Roman" w:cs="Times New Roman"/>
      <w:szCs w:val="24"/>
    </w:rPr>
  </w:style>
  <w:style w:type="character" w:customStyle="1" w:styleId="paragraph-hierarchy">
    <w:name w:val="paragraph-hierarchy"/>
    <w:basedOn w:val="DefaultParagraphFont"/>
    <w:rsid w:val="00446AC4"/>
  </w:style>
  <w:style w:type="character" w:customStyle="1" w:styleId="paren">
    <w:name w:val="paren"/>
    <w:basedOn w:val="DefaultParagraphFont"/>
    <w:rsid w:val="00446AC4"/>
  </w:style>
  <w:style w:type="paragraph" w:customStyle="1" w:styleId="indent-2">
    <w:name w:val="indent-2"/>
    <w:basedOn w:val="Normal"/>
    <w:rsid w:val="00446AC4"/>
    <w:pPr>
      <w:spacing w:before="100" w:beforeAutospacing="1" w:after="100" w:afterAutospacing="1"/>
    </w:pPr>
    <w:rPr>
      <w:rFonts w:eastAsia="Times New Roman" w:cs="Times New Roman"/>
      <w:szCs w:val="24"/>
    </w:rPr>
  </w:style>
  <w:style w:type="paragraph" w:customStyle="1" w:styleId="indent-3">
    <w:name w:val="indent-3"/>
    <w:basedOn w:val="Normal"/>
    <w:rsid w:val="00446AC4"/>
    <w:pPr>
      <w:spacing w:before="100" w:beforeAutospacing="1" w:after="100" w:afterAutospacing="1"/>
    </w:pPr>
    <w:rPr>
      <w:rFonts w:eastAsia="Times New Roman" w:cs="Times New Roman"/>
      <w:szCs w:val="24"/>
    </w:rPr>
  </w:style>
  <w:style w:type="paragraph" w:customStyle="1" w:styleId="indent-4">
    <w:name w:val="indent-4"/>
    <w:basedOn w:val="Normal"/>
    <w:rsid w:val="00446AC4"/>
    <w:pPr>
      <w:spacing w:before="100" w:beforeAutospacing="1" w:after="100" w:afterAutospacing="1"/>
    </w:pPr>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945370">
      <w:bodyDiv w:val="1"/>
      <w:marLeft w:val="0"/>
      <w:marRight w:val="0"/>
      <w:marTop w:val="0"/>
      <w:marBottom w:val="0"/>
      <w:divBdr>
        <w:top w:val="none" w:sz="0" w:space="0" w:color="auto"/>
        <w:left w:val="none" w:sz="0" w:space="0" w:color="auto"/>
        <w:bottom w:val="none" w:sz="0" w:space="0" w:color="auto"/>
        <w:right w:val="none" w:sz="0" w:space="0" w:color="auto"/>
      </w:divBdr>
    </w:div>
    <w:div w:id="181020821">
      <w:bodyDiv w:val="1"/>
      <w:marLeft w:val="0"/>
      <w:marRight w:val="0"/>
      <w:marTop w:val="0"/>
      <w:marBottom w:val="0"/>
      <w:divBdr>
        <w:top w:val="none" w:sz="0" w:space="0" w:color="auto"/>
        <w:left w:val="none" w:sz="0" w:space="0" w:color="auto"/>
        <w:bottom w:val="none" w:sz="0" w:space="0" w:color="auto"/>
        <w:right w:val="none" w:sz="0" w:space="0" w:color="auto"/>
      </w:divBdr>
    </w:div>
    <w:div w:id="209341422">
      <w:bodyDiv w:val="1"/>
      <w:marLeft w:val="0"/>
      <w:marRight w:val="0"/>
      <w:marTop w:val="0"/>
      <w:marBottom w:val="0"/>
      <w:divBdr>
        <w:top w:val="none" w:sz="0" w:space="0" w:color="auto"/>
        <w:left w:val="none" w:sz="0" w:space="0" w:color="auto"/>
        <w:bottom w:val="none" w:sz="0" w:space="0" w:color="auto"/>
        <w:right w:val="none" w:sz="0" w:space="0" w:color="auto"/>
      </w:divBdr>
    </w:div>
    <w:div w:id="280772791">
      <w:bodyDiv w:val="1"/>
      <w:marLeft w:val="0"/>
      <w:marRight w:val="0"/>
      <w:marTop w:val="30"/>
      <w:marBottom w:val="750"/>
      <w:divBdr>
        <w:top w:val="none" w:sz="0" w:space="0" w:color="auto"/>
        <w:left w:val="none" w:sz="0" w:space="0" w:color="auto"/>
        <w:bottom w:val="none" w:sz="0" w:space="0" w:color="auto"/>
        <w:right w:val="none" w:sz="0" w:space="0" w:color="auto"/>
      </w:divBdr>
      <w:divsChild>
        <w:div w:id="1577283395">
          <w:marLeft w:val="0"/>
          <w:marRight w:val="0"/>
          <w:marTop w:val="0"/>
          <w:marBottom w:val="0"/>
          <w:divBdr>
            <w:top w:val="single" w:sz="36" w:space="0" w:color="FFFFFF"/>
            <w:left w:val="none" w:sz="0" w:space="0" w:color="auto"/>
            <w:bottom w:val="none" w:sz="0" w:space="0" w:color="auto"/>
            <w:right w:val="none" w:sz="0" w:space="0" w:color="auto"/>
          </w:divBdr>
          <w:divsChild>
            <w:div w:id="1127120227">
              <w:marLeft w:val="180"/>
              <w:marRight w:val="180"/>
              <w:marTop w:val="45"/>
              <w:marBottom w:val="45"/>
              <w:divBdr>
                <w:top w:val="none" w:sz="0" w:space="0" w:color="auto"/>
                <w:left w:val="none" w:sz="0" w:space="0" w:color="auto"/>
                <w:bottom w:val="none" w:sz="0" w:space="0" w:color="auto"/>
                <w:right w:val="none" w:sz="0" w:space="0" w:color="auto"/>
              </w:divBdr>
            </w:div>
          </w:divsChild>
        </w:div>
      </w:divsChild>
    </w:div>
    <w:div w:id="300615832">
      <w:bodyDiv w:val="1"/>
      <w:marLeft w:val="0"/>
      <w:marRight w:val="0"/>
      <w:marTop w:val="0"/>
      <w:marBottom w:val="0"/>
      <w:divBdr>
        <w:top w:val="none" w:sz="0" w:space="0" w:color="auto"/>
        <w:left w:val="none" w:sz="0" w:space="0" w:color="auto"/>
        <w:bottom w:val="none" w:sz="0" w:space="0" w:color="auto"/>
        <w:right w:val="none" w:sz="0" w:space="0" w:color="auto"/>
      </w:divBdr>
    </w:div>
    <w:div w:id="324826715">
      <w:bodyDiv w:val="1"/>
      <w:marLeft w:val="0"/>
      <w:marRight w:val="0"/>
      <w:marTop w:val="0"/>
      <w:marBottom w:val="0"/>
      <w:divBdr>
        <w:top w:val="none" w:sz="0" w:space="0" w:color="auto"/>
        <w:left w:val="none" w:sz="0" w:space="0" w:color="auto"/>
        <w:bottom w:val="none" w:sz="0" w:space="0" w:color="auto"/>
        <w:right w:val="none" w:sz="0" w:space="0" w:color="auto"/>
      </w:divBdr>
      <w:divsChild>
        <w:div w:id="1817139196">
          <w:marLeft w:val="0"/>
          <w:marRight w:val="0"/>
          <w:marTop w:val="0"/>
          <w:marBottom w:val="0"/>
          <w:divBdr>
            <w:top w:val="none" w:sz="0" w:space="0" w:color="auto"/>
            <w:left w:val="none" w:sz="0" w:space="0" w:color="auto"/>
            <w:bottom w:val="none" w:sz="0" w:space="0" w:color="auto"/>
            <w:right w:val="none" w:sz="0" w:space="0" w:color="auto"/>
          </w:divBdr>
          <w:divsChild>
            <w:div w:id="1889754181">
              <w:marLeft w:val="0"/>
              <w:marRight w:val="0"/>
              <w:marTop w:val="0"/>
              <w:marBottom w:val="0"/>
              <w:divBdr>
                <w:top w:val="none" w:sz="0" w:space="0" w:color="auto"/>
                <w:left w:val="none" w:sz="0" w:space="0" w:color="auto"/>
                <w:bottom w:val="none" w:sz="0" w:space="0" w:color="auto"/>
                <w:right w:val="none" w:sz="0" w:space="0" w:color="auto"/>
              </w:divBdr>
              <w:divsChild>
                <w:div w:id="2011641279">
                  <w:marLeft w:val="0"/>
                  <w:marRight w:val="0"/>
                  <w:marTop w:val="0"/>
                  <w:marBottom w:val="0"/>
                  <w:divBdr>
                    <w:top w:val="none" w:sz="0" w:space="0" w:color="auto"/>
                    <w:left w:val="none" w:sz="0" w:space="0" w:color="auto"/>
                    <w:bottom w:val="none" w:sz="0" w:space="0" w:color="auto"/>
                    <w:right w:val="none" w:sz="0" w:space="0" w:color="auto"/>
                  </w:divBdr>
                  <w:divsChild>
                    <w:div w:id="643898803">
                      <w:marLeft w:val="0"/>
                      <w:marRight w:val="0"/>
                      <w:marTop w:val="0"/>
                      <w:marBottom w:val="0"/>
                      <w:divBdr>
                        <w:top w:val="none" w:sz="0" w:space="0" w:color="auto"/>
                        <w:left w:val="none" w:sz="0" w:space="0" w:color="auto"/>
                        <w:bottom w:val="none" w:sz="0" w:space="0" w:color="auto"/>
                        <w:right w:val="none" w:sz="0" w:space="0" w:color="auto"/>
                      </w:divBdr>
                      <w:divsChild>
                        <w:div w:id="1859662485">
                          <w:marLeft w:val="0"/>
                          <w:marRight w:val="0"/>
                          <w:marTop w:val="0"/>
                          <w:marBottom w:val="0"/>
                          <w:divBdr>
                            <w:top w:val="none" w:sz="0" w:space="0" w:color="auto"/>
                            <w:left w:val="none" w:sz="0" w:space="0" w:color="auto"/>
                            <w:bottom w:val="none" w:sz="0" w:space="0" w:color="auto"/>
                            <w:right w:val="none" w:sz="0" w:space="0" w:color="auto"/>
                          </w:divBdr>
                          <w:divsChild>
                            <w:div w:id="1119451681">
                              <w:marLeft w:val="0"/>
                              <w:marRight w:val="0"/>
                              <w:marTop w:val="0"/>
                              <w:marBottom w:val="0"/>
                              <w:divBdr>
                                <w:top w:val="none" w:sz="0" w:space="0" w:color="auto"/>
                                <w:left w:val="none" w:sz="0" w:space="0" w:color="auto"/>
                                <w:bottom w:val="none" w:sz="0" w:space="0" w:color="auto"/>
                                <w:right w:val="none" w:sz="0" w:space="0" w:color="auto"/>
                              </w:divBdr>
                              <w:divsChild>
                                <w:div w:id="1103064817">
                                  <w:marLeft w:val="0"/>
                                  <w:marRight w:val="0"/>
                                  <w:marTop w:val="0"/>
                                  <w:marBottom w:val="0"/>
                                  <w:divBdr>
                                    <w:top w:val="none" w:sz="0" w:space="0" w:color="auto"/>
                                    <w:left w:val="none" w:sz="0" w:space="0" w:color="auto"/>
                                    <w:bottom w:val="none" w:sz="0" w:space="0" w:color="auto"/>
                                    <w:right w:val="none" w:sz="0" w:space="0" w:color="auto"/>
                                  </w:divBdr>
                                  <w:divsChild>
                                    <w:div w:id="1493762910">
                                      <w:marLeft w:val="0"/>
                                      <w:marRight w:val="0"/>
                                      <w:marTop w:val="0"/>
                                      <w:marBottom w:val="0"/>
                                      <w:divBdr>
                                        <w:top w:val="none" w:sz="0" w:space="0" w:color="auto"/>
                                        <w:left w:val="none" w:sz="0" w:space="0" w:color="auto"/>
                                        <w:bottom w:val="none" w:sz="0" w:space="0" w:color="auto"/>
                                        <w:right w:val="none" w:sz="0" w:space="0" w:color="auto"/>
                                      </w:divBdr>
                                      <w:divsChild>
                                        <w:div w:id="651636571">
                                          <w:marLeft w:val="0"/>
                                          <w:marRight w:val="0"/>
                                          <w:marTop w:val="0"/>
                                          <w:marBottom w:val="0"/>
                                          <w:divBdr>
                                            <w:top w:val="none" w:sz="0" w:space="0" w:color="auto"/>
                                            <w:left w:val="none" w:sz="0" w:space="0" w:color="auto"/>
                                            <w:bottom w:val="none" w:sz="0" w:space="0" w:color="auto"/>
                                            <w:right w:val="none" w:sz="0" w:space="0" w:color="auto"/>
                                          </w:divBdr>
                                          <w:divsChild>
                                            <w:div w:id="1864854653">
                                              <w:marLeft w:val="0"/>
                                              <w:marRight w:val="0"/>
                                              <w:marTop w:val="0"/>
                                              <w:marBottom w:val="0"/>
                                              <w:divBdr>
                                                <w:top w:val="none" w:sz="0" w:space="0" w:color="auto"/>
                                                <w:left w:val="none" w:sz="0" w:space="0" w:color="auto"/>
                                                <w:bottom w:val="none" w:sz="0" w:space="0" w:color="auto"/>
                                                <w:right w:val="none" w:sz="0" w:space="0" w:color="auto"/>
                                              </w:divBdr>
                                              <w:divsChild>
                                                <w:div w:id="1152405662">
                                                  <w:marLeft w:val="0"/>
                                                  <w:marRight w:val="0"/>
                                                  <w:marTop w:val="0"/>
                                                  <w:marBottom w:val="0"/>
                                                  <w:divBdr>
                                                    <w:top w:val="none" w:sz="0" w:space="0" w:color="auto"/>
                                                    <w:left w:val="none" w:sz="0" w:space="0" w:color="auto"/>
                                                    <w:bottom w:val="none" w:sz="0" w:space="0" w:color="auto"/>
                                                    <w:right w:val="none" w:sz="0" w:space="0" w:color="auto"/>
                                                  </w:divBdr>
                                                  <w:divsChild>
                                                    <w:div w:id="68374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56733510">
      <w:bodyDiv w:val="1"/>
      <w:marLeft w:val="0"/>
      <w:marRight w:val="0"/>
      <w:marTop w:val="30"/>
      <w:marBottom w:val="750"/>
      <w:divBdr>
        <w:top w:val="none" w:sz="0" w:space="0" w:color="auto"/>
        <w:left w:val="none" w:sz="0" w:space="0" w:color="auto"/>
        <w:bottom w:val="none" w:sz="0" w:space="0" w:color="auto"/>
        <w:right w:val="none" w:sz="0" w:space="0" w:color="auto"/>
      </w:divBdr>
      <w:divsChild>
        <w:div w:id="728309202">
          <w:marLeft w:val="0"/>
          <w:marRight w:val="0"/>
          <w:marTop w:val="0"/>
          <w:marBottom w:val="0"/>
          <w:divBdr>
            <w:top w:val="single" w:sz="36" w:space="0" w:color="FFFFFF"/>
            <w:left w:val="none" w:sz="0" w:space="0" w:color="auto"/>
            <w:bottom w:val="none" w:sz="0" w:space="0" w:color="auto"/>
            <w:right w:val="none" w:sz="0" w:space="0" w:color="auto"/>
          </w:divBdr>
          <w:divsChild>
            <w:div w:id="1450123160">
              <w:marLeft w:val="180"/>
              <w:marRight w:val="180"/>
              <w:marTop w:val="45"/>
              <w:marBottom w:val="45"/>
              <w:divBdr>
                <w:top w:val="none" w:sz="0" w:space="0" w:color="auto"/>
                <w:left w:val="none" w:sz="0" w:space="0" w:color="auto"/>
                <w:bottom w:val="none" w:sz="0" w:space="0" w:color="auto"/>
                <w:right w:val="none" w:sz="0" w:space="0" w:color="auto"/>
              </w:divBdr>
            </w:div>
          </w:divsChild>
        </w:div>
      </w:divsChild>
    </w:div>
    <w:div w:id="398065921">
      <w:bodyDiv w:val="1"/>
      <w:marLeft w:val="0"/>
      <w:marRight w:val="0"/>
      <w:marTop w:val="0"/>
      <w:marBottom w:val="0"/>
      <w:divBdr>
        <w:top w:val="none" w:sz="0" w:space="0" w:color="auto"/>
        <w:left w:val="none" w:sz="0" w:space="0" w:color="auto"/>
        <w:bottom w:val="none" w:sz="0" w:space="0" w:color="auto"/>
        <w:right w:val="none" w:sz="0" w:space="0" w:color="auto"/>
      </w:divBdr>
    </w:div>
    <w:div w:id="450438795">
      <w:bodyDiv w:val="1"/>
      <w:marLeft w:val="0"/>
      <w:marRight w:val="0"/>
      <w:marTop w:val="0"/>
      <w:marBottom w:val="0"/>
      <w:divBdr>
        <w:top w:val="none" w:sz="0" w:space="0" w:color="auto"/>
        <w:left w:val="none" w:sz="0" w:space="0" w:color="auto"/>
        <w:bottom w:val="none" w:sz="0" w:space="0" w:color="auto"/>
        <w:right w:val="none" w:sz="0" w:space="0" w:color="auto"/>
      </w:divBdr>
    </w:div>
    <w:div w:id="458498062">
      <w:bodyDiv w:val="1"/>
      <w:marLeft w:val="0"/>
      <w:marRight w:val="0"/>
      <w:marTop w:val="0"/>
      <w:marBottom w:val="0"/>
      <w:divBdr>
        <w:top w:val="none" w:sz="0" w:space="0" w:color="auto"/>
        <w:left w:val="none" w:sz="0" w:space="0" w:color="auto"/>
        <w:bottom w:val="none" w:sz="0" w:space="0" w:color="auto"/>
        <w:right w:val="none" w:sz="0" w:space="0" w:color="auto"/>
      </w:divBdr>
    </w:div>
    <w:div w:id="562330091">
      <w:bodyDiv w:val="1"/>
      <w:marLeft w:val="0"/>
      <w:marRight w:val="0"/>
      <w:marTop w:val="0"/>
      <w:marBottom w:val="0"/>
      <w:divBdr>
        <w:top w:val="none" w:sz="0" w:space="0" w:color="auto"/>
        <w:left w:val="none" w:sz="0" w:space="0" w:color="auto"/>
        <w:bottom w:val="none" w:sz="0" w:space="0" w:color="auto"/>
        <w:right w:val="none" w:sz="0" w:space="0" w:color="auto"/>
      </w:divBdr>
    </w:div>
    <w:div w:id="662006301">
      <w:bodyDiv w:val="1"/>
      <w:marLeft w:val="0"/>
      <w:marRight w:val="0"/>
      <w:marTop w:val="0"/>
      <w:marBottom w:val="0"/>
      <w:divBdr>
        <w:top w:val="none" w:sz="0" w:space="0" w:color="auto"/>
        <w:left w:val="none" w:sz="0" w:space="0" w:color="auto"/>
        <w:bottom w:val="none" w:sz="0" w:space="0" w:color="auto"/>
        <w:right w:val="none" w:sz="0" w:space="0" w:color="auto"/>
      </w:divBdr>
    </w:div>
    <w:div w:id="679887964">
      <w:bodyDiv w:val="1"/>
      <w:marLeft w:val="0"/>
      <w:marRight w:val="0"/>
      <w:marTop w:val="30"/>
      <w:marBottom w:val="750"/>
      <w:divBdr>
        <w:top w:val="none" w:sz="0" w:space="0" w:color="auto"/>
        <w:left w:val="none" w:sz="0" w:space="0" w:color="auto"/>
        <w:bottom w:val="none" w:sz="0" w:space="0" w:color="auto"/>
        <w:right w:val="none" w:sz="0" w:space="0" w:color="auto"/>
      </w:divBdr>
      <w:divsChild>
        <w:div w:id="1520385890">
          <w:marLeft w:val="0"/>
          <w:marRight w:val="0"/>
          <w:marTop w:val="0"/>
          <w:marBottom w:val="0"/>
          <w:divBdr>
            <w:top w:val="single" w:sz="36" w:space="0" w:color="FFFFFF"/>
            <w:left w:val="none" w:sz="0" w:space="0" w:color="auto"/>
            <w:bottom w:val="none" w:sz="0" w:space="0" w:color="auto"/>
            <w:right w:val="none" w:sz="0" w:space="0" w:color="auto"/>
          </w:divBdr>
          <w:divsChild>
            <w:div w:id="2009675005">
              <w:marLeft w:val="180"/>
              <w:marRight w:val="180"/>
              <w:marTop w:val="45"/>
              <w:marBottom w:val="45"/>
              <w:divBdr>
                <w:top w:val="none" w:sz="0" w:space="0" w:color="auto"/>
                <w:left w:val="none" w:sz="0" w:space="0" w:color="auto"/>
                <w:bottom w:val="none" w:sz="0" w:space="0" w:color="auto"/>
                <w:right w:val="none" w:sz="0" w:space="0" w:color="auto"/>
              </w:divBdr>
            </w:div>
          </w:divsChild>
        </w:div>
      </w:divsChild>
    </w:div>
    <w:div w:id="759300796">
      <w:bodyDiv w:val="1"/>
      <w:marLeft w:val="0"/>
      <w:marRight w:val="0"/>
      <w:marTop w:val="0"/>
      <w:marBottom w:val="0"/>
      <w:divBdr>
        <w:top w:val="none" w:sz="0" w:space="0" w:color="auto"/>
        <w:left w:val="none" w:sz="0" w:space="0" w:color="auto"/>
        <w:bottom w:val="none" w:sz="0" w:space="0" w:color="auto"/>
        <w:right w:val="none" w:sz="0" w:space="0" w:color="auto"/>
      </w:divBdr>
      <w:divsChild>
        <w:div w:id="699209280">
          <w:marLeft w:val="0"/>
          <w:marRight w:val="0"/>
          <w:marTop w:val="0"/>
          <w:marBottom w:val="0"/>
          <w:divBdr>
            <w:top w:val="none" w:sz="0" w:space="0" w:color="auto"/>
            <w:left w:val="none" w:sz="0" w:space="0" w:color="auto"/>
            <w:bottom w:val="none" w:sz="0" w:space="0" w:color="auto"/>
            <w:right w:val="none" w:sz="0" w:space="0" w:color="auto"/>
          </w:divBdr>
        </w:div>
      </w:divsChild>
    </w:div>
    <w:div w:id="894851636">
      <w:bodyDiv w:val="1"/>
      <w:marLeft w:val="0"/>
      <w:marRight w:val="0"/>
      <w:marTop w:val="0"/>
      <w:marBottom w:val="0"/>
      <w:divBdr>
        <w:top w:val="none" w:sz="0" w:space="0" w:color="auto"/>
        <w:left w:val="none" w:sz="0" w:space="0" w:color="auto"/>
        <w:bottom w:val="none" w:sz="0" w:space="0" w:color="auto"/>
        <w:right w:val="none" w:sz="0" w:space="0" w:color="auto"/>
      </w:divBdr>
    </w:div>
    <w:div w:id="901991046">
      <w:bodyDiv w:val="1"/>
      <w:marLeft w:val="0"/>
      <w:marRight w:val="0"/>
      <w:marTop w:val="0"/>
      <w:marBottom w:val="0"/>
      <w:divBdr>
        <w:top w:val="none" w:sz="0" w:space="0" w:color="auto"/>
        <w:left w:val="none" w:sz="0" w:space="0" w:color="auto"/>
        <w:bottom w:val="none" w:sz="0" w:space="0" w:color="auto"/>
        <w:right w:val="none" w:sz="0" w:space="0" w:color="auto"/>
      </w:divBdr>
    </w:div>
    <w:div w:id="953708064">
      <w:bodyDiv w:val="1"/>
      <w:marLeft w:val="0"/>
      <w:marRight w:val="0"/>
      <w:marTop w:val="0"/>
      <w:marBottom w:val="0"/>
      <w:divBdr>
        <w:top w:val="none" w:sz="0" w:space="0" w:color="auto"/>
        <w:left w:val="none" w:sz="0" w:space="0" w:color="auto"/>
        <w:bottom w:val="none" w:sz="0" w:space="0" w:color="auto"/>
        <w:right w:val="none" w:sz="0" w:space="0" w:color="auto"/>
      </w:divBdr>
    </w:div>
    <w:div w:id="968587728">
      <w:bodyDiv w:val="1"/>
      <w:marLeft w:val="0"/>
      <w:marRight w:val="0"/>
      <w:marTop w:val="0"/>
      <w:marBottom w:val="0"/>
      <w:divBdr>
        <w:top w:val="none" w:sz="0" w:space="0" w:color="auto"/>
        <w:left w:val="none" w:sz="0" w:space="0" w:color="auto"/>
        <w:bottom w:val="none" w:sz="0" w:space="0" w:color="auto"/>
        <w:right w:val="none" w:sz="0" w:space="0" w:color="auto"/>
      </w:divBdr>
    </w:div>
    <w:div w:id="1003362479">
      <w:bodyDiv w:val="1"/>
      <w:marLeft w:val="0"/>
      <w:marRight w:val="0"/>
      <w:marTop w:val="0"/>
      <w:marBottom w:val="0"/>
      <w:divBdr>
        <w:top w:val="none" w:sz="0" w:space="0" w:color="auto"/>
        <w:left w:val="none" w:sz="0" w:space="0" w:color="auto"/>
        <w:bottom w:val="none" w:sz="0" w:space="0" w:color="auto"/>
        <w:right w:val="none" w:sz="0" w:space="0" w:color="auto"/>
      </w:divBdr>
      <w:divsChild>
        <w:div w:id="758020640">
          <w:marLeft w:val="0"/>
          <w:marRight w:val="0"/>
          <w:marTop w:val="0"/>
          <w:marBottom w:val="0"/>
          <w:divBdr>
            <w:top w:val="none" w:sz="0" w:space="0" w:color="auto"/>
            <w:left w:val="none" w:sz="0" w:space="0" w:color="auto"/>
            <w:bottom w:val="none" w:sz="0" w:space="0" w:color="auto"/>
            <w:right w:val="none" w:sz="0" w:space="0" w:color="auto"/>
          </w:divBdr>
          <w:divsChild>
            <w:div w:id="456876618">
              <w:marLeft w:val="0"/>
              <w:marRight w:val="0"/>
              <w:marTop w:val="0"/>
              <w:marBottom w:val="0"/>
              <w:divBdr>
                <w:top w:val="none" w:sz="0" w:space="0" w:color="auto"/>
                <w:left w:val="none" w:sz="0" w:space="0" w:color="auto"/>
                <w:bottom w:val="none" w:sz="0" w:space="0" w:color="auto"/>
                <w:right w:val="none" w:sz="0" w:space="0" w:color="auto"/>
              </w:divBdr>
              <w:divsChild>
                <w:div w:id="328097634">
                  <w:marLeft w:val="0"/>
                  <w:marRight w:val="0"/>
                  <w:marTop w:val="0"/>
                  <w:marBottom w:val="0"/>
                  <w:divBdr>
                    <w:top w:val="none" w:sz="0" w:space="0" w:color="auto"/>
                    <w:left w:val="none" w:sz="0" w:space="0" w:color="auto"/>
                    <w:bottom w:val="none" w:sz="0" w:space="0" w:color="auto"/>
                    <w:right w:val="none" w:sz="0" w:space="0" w:color="auto"/>
                  </w:divBdr>
                </w:div>
                <w:div w:id="599416102">
                  <w:marLeft w:val="0"/>
                  <w:marRight w:val="0"/>
                  <w:marTop w:val="0"/>
                  <w:marBottom w:val="0"/>
                  <w:divBdr>
                    <w:top w:val="none" w:sz="0" w:space="0" w:color="auto"/>
                    <w:left w:val="none" w:sz="0" w:space="0" w:color="auto"/>
                    <w:bottom w:val="none" w:sz="0" w:space="0" w:color="auto"/>
                    <w:right w:val="none" w:sz="0" w:space="0" w:color="auto"/>
                  </w:divBdr>
                </w:div>
                <w:div w:id="1438064032">
                  <w:marLeft w:val="0"/>
                  <w:marRight w:val="0"/>
                  <w:marTop w:val="0"/>
                  <w:marBottom w:val="0"/>
                  <w:divBdr>
                    <w:top w:val="none" w:sz="0" w:space="0" w:color="auto"/>
                    <w:left w:val="none" w:sz="0" w:space="0" w:color="auto"/>
                    <w:bottom w:val="none" w:sz="0" w:space="0" w:color="auto"/>
                    <w:right w:val="none" w:sz="0" w:space="0" w:color="auto"/>
                  </w:divBdr>
                </w:div>
                <w:div w:id="2072145571">
                  <w:marLeft w:val="0"/>
                  <w:marRight w:val="0"/>
                  <w:marTop w:val="0"/>
                  <w:marBottom w:val="0"/>
                  <w:divBdr>
                    <w:top w:val="none" w:sz="0" w:space="0" w:color="auto"/>
                    <w:left w:val="none" w:sz="0" w:space="0" w:color="auto"/>
                    <w:bottom w:val="none" w:sz="0" w:space="0" w:color="auto"/>
                    <w:right w:val="none" w:sz="0" w:space="0" w:color="auto"/>
                  </w:divBdr>
                </w:div>
              </w:divsChild>
            </w:div>
            <w:div w:id="555433000">
              <w:marLeft w:val="0"/>
              <w:marRight w:val="0"/>
              <w:marTop w:val="0"/>
              <w:marBottom w:val="0"/>
              <w:divBdr>
                <w:top w:val="none" w:sz="0" w:space="0" w:color="auto"/>
                <w:left w:val="none" w:sz="0" w:space="0" w:color="auto"/>
                <w:bottom w:val="none" w:sz="0" w:space="0" w:color="auto"/>
                <w:right w:val="none" w:sz="0" w:space="0" w:color="auto"/>
              </w:divBdr>
              <w:divsChild>
                <w:div w:id="1176579198">
                  <w:marLeft w:val="0"/>
                  <w:marRight w:val="0"/>
                  <w:marTop w:val="0"/>
                  <w:marBottom w:val="0"/>
                  <w:divBdr>
                    <w:top w:val="none" w:sz="0" w:space="0" w:color="auto"/>
                    <w:left w:val="none" w:sz="0" w:space="0" w:color="auto"/>
                    <w:bottom w:val="none" w:sz="0" w:space="0" w:color="auto"/>
                    <w:right w:val="none" w:sz="0" w:space="0" w:color="auto"/>
                  </w:divBdr>
                </w:div>
                <w:div w:id="1933081519">
                  <w:marLeft w:val="0"/>
                  <w:marRight w:val="0"/>
                  <w:marTop w:val="0"/>
                  <w:marBottom w:val="0"/>
                  <w:divBdr>
                    <w:top w:val="none" w:sz="0" w:space="0" w:color="auto"/>
                    <w:left w:val="none" w:sz="0" w:space="0" w:color="auto"/>
                    <w:bottom w:val="none" w:sz="0" w:space="0" w:color="auto"/>
                    <w:right w:val="none" w:sz="0" w:space="0" w:color="auto"/>
                  </w:divBdr>
                </w:div>
              </w:divsChild>
            </w:div>
            <w:div w:id="1081215379">
              <w:marLeft w:val="0"/>
              <w:marRight w:val="0"/>
              <w:marTop w:val="0"/>
              <w:marBottom w:val="0"/>
              <w:divBdr>
                <w:top w:val="none" w:sz="0" w:space="0" w:color="auto"/>
                <w:left w:val="none" w:sz="0" w:space="0" w:color="auto"/>
                <w:bottom w:val="none" w:sz="0" w:space="0" w:color="auto"/>
                <w:right w:val="none" w:sz="0" w:space="0" w:color="auto"/>
              </w:divBdr>
              <w:divsChild>
                <w:div w:id="58284359">
                  <w:marLeft w:val="0"/>
                  <w:marRight w:val="0"/>
                  <w:marTop w:val="0"/>
                  <w:marBottom w:val="0"/>
                  <w:divBdr>
                    <w:top w:val="none" w:sz="0" w:space="0" w:color="auto"/>
                    <w:left w:val="none" w:sz="0" w:space="0" w:color="auto"/>
                    <w:bottom w:val="none" w:sz="0" w:space="0" w:color="auto"/>
                    <w:right w:val="none" w:sz="0" w:space="0" w:color="auto"/>
                  </w:divBdr>
                </w:div>
                <w:div w:id="398016088">
                  <w:marLeft w:val="0"/>
                  <w:marRight w:val="0"/>
                  <w:marTop w:val="0"/>
                  <w:marBottom w:val="0"/>
                  <w:divBdr>
                    <w:top w:val="none" w:sz="0" w:space="0" w:color="auto"/>
                    <w:left w:val="none" w:sz="0" w:space="0" w:color="auto"/>
                    <w:bottom w:val="none" w:sz="0" w:space="0" w:color="auto"/>
                    <w:right w:val="none" w:sz="0" w:space="0" w:color="auto"/>
                  </w:divBdr>
                </w:div>
                <w:div w:id="499581386">
                  <w:marLeft w:val="0"/>
                  <w:marRight w:val="0"/>
                  <w:marTop w:val="0"/>
                  <w:marBottom w:val="0"/>
                  <w:divBdr>
                    <w:top w:val="none" w:sz="0" w:space="0" w:color="auto"/>
                    <w:left w:val="none" w:sz="0" w:space="0" w:color="auto"/>
                    <w:bottom w:val="none" w:sz="0" w:space="0" w:color="auto"/>
                    <w:right w:val="none" w:sz="0" w:space="0" w:color="auto"/>
                  </w:divBdr>
                </w:div>
              </w:divsChild>
            </w:div>
            <w:div w:id="1209992876">
              <w:marLeft w:val="0"/>
              <w:marRight w:val="0"/>
              <w:marTop w:val="0"/>
              <w:marBottom w:val="0"/>
              <w:divBdr>
                <w:top w:val="none" w:sz="0" w:space="0" w:color="auto"/>
                <w:left w:val="none" w:sz="0" w:space="0" w:color="auto"/>
                <w:bottom w:val="none" w:sz="0" w:space="0" w:color="auto"/>
                <w:right w:val="none" w:sz="0" w:space="0" w:color="auto"/>
              </w:divBdr>
            </w:div>
            <w:div w:id="1301223989">
              <w:marLeft w:val="0"/>
              <w:marRight w:val="0"/>
              <w:marTop w:val="0"/>
              <w:marBottom w:val="0"/>
              <w:divBdr>
                <w:top w:val="none" w:sz="0" w:space="0" w:color="auto"/>
                <w:left w:val="none" w:sz="0" w:space="0" w:color="auto"/>
                <w:bottom w:val="none" w:sz="0" w:space="0" w:color="auto"/>
                <w:right w:val="none" w:sz="0" w:space="0" w:color="auto"/>
              </w:divBdr>
            </w:div>
            <w:div w:id="1661345795">
              <w:marLeft w:val="0"/>
              <w:marRight w:val="0"/>
              <w:marTop w:val="0"/>
              <w:marBottom w:val="0"/>
              <w:divBdr>
                <w:top w:val="none" w:sz="0" w:space="0" w:color="auto"/>
                <w:left w:val="none" w:sz="0" w:space="0" w:color="auto"/>
                <w:bottom w:val="none" w:sz="0" w:space="0" w:color="auto"/>
                <w:right w:val="none" w:sz="0" w:space="0" w:color="auto"/>
              </w:divBdr>
            </w:div>
          </w:divsChild>
        </w:div>
        <w:div w:id="773592991">
          <w:marLeft w:val="0"/>
          <w:marRight w:val="0"/>
          <w:marTop w:val="0"/>
          <w:marBottom w:val="0"/>
          <w:divBdr>
            <w:top w:val="none" w:sz="0" w:space="0" w:color="auto"/>
            <w:left w:val="none" w:sz="0" w:space="0" w:color="auto"/>
            <w:bottom w:val="none" w:sz="0" w:space="0" w:color="auto"/>
            <w:right w:val="none" w:sz="0" w:space="0" w:color="auto"/>
          </w:divBdr>
          <w:divsChild>
            <w:div w:id="570121510">
              <w:marLeft w:val="0"/>
              <w:marRight w:val="0"/>
              <w:marTop w:val="0"/>
              <w:marBottom w:val="0"/>
              <w:divBdr>
                <w:top w:val="none" w:sz="0" w:space="0" w:color="auto"/>
                <w:left w:val="none" w:sz="0" w:space="0" w:color="auto"/>
                <w:bottom w:val="none" w:sz="0" w:space="0" w:color="auto"/>
                <w:right w:val="none" w:sz="0" w:space="0" w:color="auto"/>
              </w:divBdr>
            </w:div>
            <w:div w:id="773211499">
              <w:marLeft w:val="0"/>
              <w:marRight w:val="0"/>
              <w:marTop w:val="0"/>
              <w:marBottom w:val="0"/>
              <w:divBdr>
                <w:top w:val="none" w:sz="0" w:space="0" w:color="auto"/>
                <w:left w:val="none" w:sz="0" w:space="0" w:color="auto"/>
                <w:bottom w:val="none" w:sz="0" w:space="0" w:color="auto"/>
                <w:right w:val="none" w:sz="0" w:space="0" w:color="auto"/>
              </w:divBdr>
            </w:div>
          </w:divsChild>
        </w:div>
        <w:div w:id="799542902">
          <w:marLeft w:val="0"/>
          <w:marRight w:val="0"/>
          <w:marTop w:val="0"/>
          <w:marBottom w:val="0"/>
          <w:divBdr>
            <w:top w:val="none" w:sz="0" w:space="0" w:color="auto"/>
            <w:left w:val="none" w:sz="0" w:space="0" w:color="auto"/>
            <w:bottom w:val="none" w:sz="0" w:space="0" w:color="auto"/>
            <w:right w:val="none" w:sz="0" w:space="0" w:color="auto"/>
          </w:divBdr>
        </w:div>
        <w:div w:id="1346515632">
          <w:marLeft w:val="0"/>
          <w:marRight w:val="0"/>
          <w:marTop w:val="0"/>
          <w:marBottom w:val="0"/>
          <w:divBdr>
            <w:top w:val="none" w:sz="0" w:space="0" w:color="auto"/>
            <w:left w:val="none" w:sz="0" w:space="0" w:color="auto"/>
            <w:bottom w:val="none" w:sz="0" w:space="0" w:color="auto"/>
            <w:right w:val="none" w:sz="0" w:space="0" w:color="auto"/>
          </w:divBdr>
          <w:divsChild>
            <w:div w:id="52626651">
              <w:marLeft w:val="0"/>
              <w:marRight w:val="0"/>
              <w:marTop w:val="0"/>
              <w:marBottom w:val="0"/>
              <w:divBdr>
                <w:top w:val="none" w:sz="0" w:space="0" w:color="auto"/>
                <w:left w:val="none" w:sz="0" w:space="0" w:color="auto"/>
                <w:bottom w:val="none" w:sz="0" w:space="0" w:color="auto"/>
                <w:right w:val="none" w:sz="0" w:space="0" w:color="auto"/>
              </w:divBdr>
              <w:divsChild>
                <w:div w:id="574433181">
                  <w:marLeft w:val="0"/>
                  <w:marRight w:val="0"/>
                  <w:marTop w:val="0"/>
                  <w:marBottom w:val="0"/>
                  <w:divBdr>
                    <w:top w:val="none" w:sz="0" w:space="0" w:color="auto"/>
                    <w:left w:val="none" w:sz="0" w:space="0" w:color="auto"/>
                    <w:bottom w:val="none" w:sz="0" w:space="0" w:color="auto"/>
                    <w:right w:val="none" w:sz="0" w:space="0" w:color="auto"/>
                  </w:divBdr>
                </w:div>
                <w:div w:id="1011100398">
                  <w:marLeft w:val="0"/>
                  <w:marRight w:val="0"/>
                  <w:marTop w:val="0"/>
                  <w:marBottom w:val="0"/>
                  <w:divBdr>
                    <w:top w:val="none" w:sz="0" w:space="0" w:color="auto"/>
                    <w:left w:val="none" w:sz="0" w:space="0" w:color="auto"/>
                    <w:bottom w:val="none" w:sz="0" w:space="0" w:color="auto"/>
                    <w:right w:val="none" w:sz="0" w:space="0" w:color="auto"/>
                  </w:divBdr>
                </w:div>
              </w:divsChild>
            </w:div>
            <w:div w:id="1441728814">
              <w:marLeft w:val="0"/>
              <w:marRight w:val="0"/>
              <w:marTop w:val="0"/>
              <w:marBottom w:val="0"/>
              <w:divBdr>
                <w:top w:val="none" w:sz="0" w:space="0" w:color="auto"/>
                <w:left w:val="none" w:sz="0" w:space="0" w:color="auto"/>
                <w:bottom w:val="none" w:sz="0" w:space="0" w:color="auto"/>
                <w:right w:val="none" w:sz="0" w:space="0" w:color="auto"/>
              </w:divBdr>
              <w:divsChild>
                <w:div w:id="536553269">
                  <w:marLeft w:val="0"/>
                  <w:marRight w:val="0"/>
                  <w:marTop w:val="0"/>
                  <w:marBottom w:val="0"/>
                  <w:divBdr>
                    <w:top w:val="none" w:sz="0" w:space="0" w:color="auto"/>
                    <w:left w:val="none" w:sz="0" w:space="0" w:color="auto"/>
                    <w:bottom w:val="none" w:sz="0" w:space="0" w:color="auto"/>
                    <w:right w:val="none" w:sz="0" w:space="0" w:color="auto"/>
                  </w:divBdr>
                </w:div>
                <w:div w:id="776488574">
                  <w:marLeft w:val="0"/>
                  <w:marRight w:val="0"/>
                  <w:marTop w:val="0"/>
                  <w:marBottom w:val="0"/>
                  <w:divBdr>
                    <w:top w:val="none" w:sz="0" w:space="0" w:color="auto"/>
                    <w:left w:val="none" w:sz="0" w:space="0" w:color="auto"/>
                    <w:bottom w:val="none" w:sz="0" w:space="0" w:color="auto"/>
                    <w:right w:val="none" w:sz="0" w:space="0" w:color="auto"/>
                  </w:divBdr>
                  <w:divsChild>
                    <w:div w:id="806047531">
                      <w:marLeft w:val="0"/>
                      <w:marRight w:val="0"/>
                      <w:marTop w:val="0"/>
                      <w:marBottom w:val="0"/>
                      <w:divBdr>
                        <w:top w:val="none" w:sz="0" w:space="0" w:color="auto"/>
                        <w:left w:val="none" w:sz="0" w:space="0" w:color="auto"/>
                        <w:bottom w:val="none" w:sz="0" w:space="0" w:color="auto"/>
                        <w:right w:val="none" w:sz="0" w:space="0" w:color="auto"/>
                      </w:divBdr>
                    </w:div>
                    <w:div w:id="1314676233">
                      <w:marLeft w:val="0"/>
                      <w:marRight w:val="0"/>
                      <w:marTop w:val="0"/>
                      <w:marBottom w:val="0"/>
                      <w:divBdr>
                        <w:top w:val="none" w:sz="0" w:space="0" w:color="auto"/>
                        <w:left w:val="none" w:sz="0" w:space="0" w:color="auto"/>
                        <w:bottom w:val="none" w:sz="0" w:space="0" w:color="auto"/>
                        <w:right w:val="none" w:sz="0" w:space="0" w:color="auto"/>
                      </w:divBdr>
                    </w:div>
                  </w:divsChild>
                </w:div>
                <w:div w:id="1682321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742914">
          <w:marLeft w:val="0"/>
          <w:marRight w:val="0"/>
          <w:marTop w:val="0"/>
          <w:marBottom w:val="0"/>
          <w:divBdr>
            <w:top w:val="none" w:sz="0" w:space="0" w:color="auto"/>
            <w:left w:val="none" w:sz="0" w:space="0" w:color="auto"/>
            <w:bottom w:val="none" w:sz="0" w:space="0" w:color="auto"/>
            <w:right w:val="none" w:sz="0" w:space="0" w:color="auto"/>
          </w:divBdr>
          <w:divsChild>
            <w:div w:id="435054054">
              <w:marLeft w:val="0"/>
              <w:marRight w:val="0"/>
              <w:marTop w:val="0"/>
              <w:marBottom w:val="0"/>
              <w:divBdr>
                <w:top w:val="none" w:sz="0" w:space="0" w:color="auto"/>
                <w:left w:val="none" w:sz="0" w:space="0" w:color="auto"/>
                <w:bottom w:val="none" w:sz="0" w:space="0" w:color="auto"/>
                <w:right w:val="none" w:sz="0" w:space="0" w:color="auto"/>
              </w:divBdr>
              <w:divsChild>
                <w:div w:id="875388715">
                  <w:marLeft w:val="0"/>
                  <w:marRight w:val="0"/>
                  <w:marTop w:val="0"/>
                  <w:marBottom w:val="0"/>
                  <w:divBdr>
                    <w:top w:val="none" w:sz="0" w:space="0" w:color="auto"/>
                    <w:left w:val="none" w:sz="0" w:space="0" w:color="auto"/>
                    <w:bottom w:val="none" w:sz="0" w:space="0" w:color="auto"/>
                    <w:right w:val="none" w:sz="0" w:space="0" w:color="auto"/>
                  </w:divBdr>
                </w:div>
                <w:div w:id="1454591506">
                  <w:marLeft w:val="0"/>
                  <w:marRight w:val="0"/>
                  <w:marTop w:val="0"/>
                  <w:marBottom w:val="0"/>
                  <w:divBdr>
                    <w:top w:val="none" w:sz="0" w:space="0" w:color="auto"/>
                    <w:left w:val="none" w:sz="0" w:space="0" w:color="auto"/>
                    <w:bottom w:val="none" w:sz="0" w:space="0" w:color="auto"/>
                    <w:right w:val="none" w:sz="0" w:space="0" w:color="auto"/>
                  </w:divBdr>
                </w:div>
              </w:divsChild>
            </w:div>
            <w:div w:id="1222253889">
              <w:marLeft w:val="0"/>
              <w:marRight w:val="0"/>
              <w:marTop w:val="0"/>
              <w:marBottom w:val="0"/>
              <w:divBdr>
                <w:top w:val="none" w:sz="0" w:space="0" w:color="auto"/>
                <w:left w:val="none" w:sz="0" w:space="0" w:color="auto"/>
                <w:bottom w:val="none" w:sz="0" w:space="0" w:color="auto"/>
                <w:right w:val="none" w:sz="0" w:space="0" w:color="auto"/>
              </w:divBdr>
            </w:div>
          </w:divsChild>
        </w:div>
        <w:div w:id="1561746616">
          <w:marLeft w:val="0"/>
          <w:marRight w:val="0"/>
          <w:marTop w:val="0"/>
          <w:marBottom w:val="0"/>
          <w:divBdr>
            <w:top w:val="none" w:sz="0" w:space="0" w:color="auto"/>
            <w:left w:val="none" w:sz="0" w:space="0" w:color="auto"/>
            <w:bottom w:val="none" w:sz="0" w:space="0" w:color="auto"/>
            <w:right w:val="none" w:sz="0" w:space="0" w:color="auto"/>
          </w:divBdr>
          <w:divsChild>
            <w:div w:id="734282469">
              <w:marLeft w:val="0"/>
              <w:marRight w:val="0"/>
              <w:marTop w:val="0"/>
              <w:marBottom w:val="0"/>
              <w:divBdr>
                <w:top w:val="none" w:sz="0" w:space="0" w:color="auto"/>
                <w:left w:val="none" w:sz="0" w:space="0" w:color="auto"/>
                <w:bottom w:val="none" w:sz="0" w:space="0" w:color="auto"/>
                <w:right w:val="none" w:sz="0" w:space="0" w:color="auto"/>
              </w:divBdr>
              <w:divsChild>
                <w:div w:id="1209025700">
                  <w:marLeft w:val="0"/>
                  <w:marRight w:val="0"/>
                  <w:marTop w:val="0"/>
                  <w:marBottom w:val="0"/>
                  <w:divBdr>
                    <w:top w:val="none" w:sz="0" w:space="0" w:color="auto"/>
                    <w:left w:val="none" w:sz="0" w:space="0" w:color="auto"/>
                    <w:bottom w:val="none" w:sz="0" w:space="0" w:color="auto"/>
                    <w:right w:val="none" w:sz="0" w:space="0" w:color="auto"/>
                  </w:divBdr>
                </w:div>
                <w:div w:id="1592810927">
                  <w:marLeft w:val="0"/>
                  <w:marRight w:val="0"/>
                  <w:marTop w:val="0"/>
                  <w:marBottom w:val="0"/>
                  <w:divBdr>
                    <w:top w:val="none" w:sz="0" w:space="0" w:color="auto"/>
                    <w:left w:val="none" w:sz="0" w:space="0" w:color="auto"/>
                    <w:bottom w:val="none" w:sz="0" w:space="0" w:color="auto"/>
                    <w:right w:val="none" w:sz="0" w:space="0" w:color="auto"/>
                  </w:divBdr>
                </w:div>
              </w:divsChild>
            </w:div>
            <w:div w:id="1658730371">
              <w:marLeft w:val="0"/>
              <w:marRight w:val="0"/>
              <w:marTop w:val="0"/>
              <w:marBottom w:val="0"/>
              <w:divBdr>
                <w:top w:val="none" w:sz="0" w:space="0" w:color="auto"/>
                <w:left w:val="none" w:sz="0" w:space="0" w:color="auto"/>
                <w:bottom w:val="none" w:sz="0" w:space="0" w:color="auto"/>
                <w:right w:val="none" w:sz="0" w:space="0" w:color="auto"/>
              </w:divBdr>
              <w:divsChild>
                <w:div w:id="672030332">
                  <w:marLeft w:val="0"/>
                  <w:marRight w:val="0"/>
                  <w:marTop w:val="0"/>
                  <w:marBottom w:val="0"/>
                  <w:divBdr>
                    <w:top w:val="none" w:sz="0" w:space="0" w:color="auto"/>
                    <w:left w:val="none" w:sz="0" w:space="0" w:color="auto"/>
                    <w:bottom w:val="none" w:sz="0" w:space="0" w:color="auto"/>
                    <w:right w:val="none" w:sz="0" w:space="0" w:color="auto"/>
                  </w:divBdr>
                </w:div>
                <w:div w:id="1437408309">
                  <w:marLeft w:val="0"/>
                  <w:marRight w:val="0"/>
                  <w:marTop w:val="0"/>
                  <w:marBottom w:val="0"/>
                  <w:divBdr>
                    <w:top w:val="none" w:sz="0" w:space="0" w:color="auto"/>
                    <w:left w:val="none" w:sz="0" w:space="0" w:color="auto"/>
                    <w:bottom w:val="none" w:sz="0" w:space="0" w:color="auto"/>
                    <w:right w:val="none" w:sz="0" w:space="0" w:color="auto"/>
                  </w:divBdr>
                  <w:divsChild>
                    <w:div w:id="269776823">
                      <w:marLeft w:val="0"/>
                      <w:marRight w:val="0"/>
                      <w:marTop w:val="0"/>
                      <w:marBottom w:val="0"/>
                      <w:divBdr>
                        <w:top w:val="none" w:sz="0" w:space="0" w:color="auto"/>
                        <w:left w:val="none" w:sz="0" w:space="0" w:color="auto"/>
                        <w:bottom w:val="none" w:sz="0" w:space="0" w:color="auto"/>
                        <w:right w:val="none" w:sz="0" w:space="0" w:color="auto"/>
                      </w:divBdr>
                    </w:div>
                    <w:div w:id="37258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6658479">
      <w:bodyDiv w:val="1"/>
      <w:marLeft w:val="0"/>
      <w:marRight w:val="0"/>
      <w:marTop w:val="30"/>
      <w:marBottom w:val="750"/>
      <w:divBdr>
        <w:top w:val="none" w:sz="0" w:space="0" w:color="auto"/>
        <w:left w:val="none" w:sz="0" w:space="0" w:color="auto"/>
        <w:bottom w:val="none" w:sz="0" w:space="0" w:color="auto"/>
        <w:right w:val="none" w:sz="0" w:space="0" w:color="auto"/>
      </w:divBdr>
      <w:divsChild>
        <w:div w:id="1431198614">
          <w:marLeft w:val="0"/>
          <w:marRight w:val="0"/>
          <w:marTop w:val="0"/>
          <w:marBottom w:val="0"/>
          <w:divBdr>
            <w:top w:val="single" w:sz="36" w:space="0" w:color="FFFFFF"/>
            <w:left w:val="none" w:sz="0" w:space="0" w:color="auto"/>
            <w:bottom w:val="none" w:sz="0" w:space="0" w:color="auto"/>
            <w:right w:val="none" w:sz="0" w:space="0" w:color="auto"/>
          </w:divBdr>
          <w:divsChild>
            <w:div w:id="1289045426">
              <w:marLeft w:val="180"/>
              <w:marRight w:val="180"/>
              <w:marTop w:val="45"/>
              <w:marBottom w:val="45"/>
              <w:divBdr>
                <w:top w:val="none" w:sz="0" w:space="0" w:color="auto"/>
                <w:left w:val="none" w:sz="0" w:space="0" w:color="auto"/>
                <w:bottom w:val="none" w:sz="0" w:space="0" w:color="auto"/>
                <w:right w:val="none" w:sz="0" w:space="0" w:color="auto"/>
              </w:divBdr>
              <w:divsChild>
                <w:div w:id="176059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3333336">
      <w:bodyDiv w:val="1"/>
      <w:marLeft w:val="0"/>
      <w:marRight w:val="0"/>
      <w:marTop w:val="0"/>
      <w:marBottom w:val="0"/>
      <w:divBdr>
        <w:top w:val="none" w:sz="0" w:space="0" w:color="auto"/>
        <w:left w:val="none" w:sz="0" w:space="0" w:color="auto"/>
        <w:bottom w:val="none" w:sz="0" w:space="0" w:color="auto"/>
        <w:right w:val="none" w:sz="0" w:space="0" w:color="auto"/>
      </w:divBdr>
    </w:div>
    <w:div w:id="1174682606">
      <w:bodyDiv w:val="1"/>
      <w:marLeft w:val="0"/>
      <w:marRight w:val="0"/>
      <w:marTop w:val="0"/>
      <w:marBottom w:val="0"/>
      <w:divBdr>
        <w:top w:val="none" w:sz="0" w:space="0" w:color="auto"/>
        <w:left w:val="none" w:sz="0" w:space="0" w:color="auto"/>
        <w:bottom w:val="none" w:sz="0" w:space="0" w:color="auto"/>
        <w:right w:val="none" w:sz="0" w:space="0" w:color="auto"/>
      </w:divBdr>
    </w:div>
    <w:div w:id="1187865421">
      <w:bodyDiv w:val="1"/>
      <w:marLeft w:val="0"/>
      <w:marRight w:val="0"/>
      <w:marTop w:val="0"/>
      <w:marBottom w:val="0"/>
      <w:divBdr>
        <w:top w:val="none" w:sz="0" w:space="0" w:color="auto"/>
        <w:left w:val="none" w:sz="0" w:space="0" w:color="auto"/>
        <w:bottom w:val="none" w:sz="0" w:space="0" w:color="auto"/>
        <w:right w:val="none" w:sz="0" w:space="0" w:color="auto"/>
      </w:divBdr>
    </w:div>
    <w:div w:id="1273242483">
      <w:bodyDiv w:val="1"/>
      <w:marLeft w:val="0"/>
      <w:marRight w:val="0"/>
      <w:marTop w:val="0"/>
      <w:marBottom w:val="0"/>
      <w:divBdr>
        <w:top w:val="none" w:sz="0" w:space="0" w:color="auto"/>
        <w:left w:val="none" w:sz="0" w:space="0" w:color="auto"/>
        <w:bottom w:val="none" w:sz="0" w:space="0" w:color="auto"/>
        <w:right w:val="none" w:sz="0" w:space="0" w:color="auto"/>
      </w:divBdr>
    </w:div>
    <w:div w:id="1296911792">
      <w:bodyDiv w:val="1"/>
      <w:marLeft w:val="0"/>
      <w:marRight w:val="0"/>
      <w:marTop w:val="30"/>
      <w:marBottom w:val="750"/>
      <w:divBdr>
        <w:top w:val="none" w:sz="0" w:space="0" w:color="auto"/>
        <w:left w:val="none" w:sz="0" w:space="0" w:color="auto"/>
        <w:bottom w:val="none" w:sz="0" w:space="0" w:color="auto"/>
        <w:right w:val="none" w:sz="0" w:space="0" w:color="auto"/>
      </w:divBdr>
      <w:divsChild>
        <w:div w:id="2110002166">
          <w:marLeft w:val="0"/>
          <w:marRight w:val="0"/>
          <w:marTop w:val="0"/>
          <w:marBottom w:val="0"/>
          <w:divBdr>
            <w:top w:val="single" w:sz="36" w:space="0" w:color="FFFFFF"/>
            <w:left w:val="none" w:sz="0" w:space="0" w:color="auto"/>
            <w:bottom w:val="none" w:sz="0" w:space="0" w:color="auto"/>
            <w:right w:val="none" w:sz="0" w:space="0" w:color="auto"/>
          </w:divBdr>
          <w:divsChild>
            <w:div w:id="1564289447">
              <w:marLeft w:val="180"/>
              <w:marRight w:val="180"/>
              <w:marTop w:val="45"/>
              <w:marBottom w:val="45"/>
              <w:divBdr>
                <w:top w:val="none" w:sz="0" w:space="0" w:color="auto"/>
                <w:left w:val="none" w:sz="0" w:space="0" w:color="auto"/>
                <w:bottom w:val="none" w:sz="0" w:space="0" w:color="auto"/>
                <w:right w:val="none" w:sz="0" w:space="0" w:color="auto"/>
              </w:divBdr>
            </w:div>
          </w:divsChild>
        </w:div>
      </w:divsChild>
    </w:div>
    <w:div w:id="1326975704">
      <w:bodyDiv w:val="1"/>
      <w:marLeft w:val="0"/>
      <w:marRight w:val="0"/>
      <w:marTop w:val="30"/>
      <w:marBottom w:val="750"/>
      <w:divBdr>
        <w:top w:val="none" w:sz="0" w:space="0" w:color="auto"/>
        <w:left w:val="none" w:sz="0" w:space="0" w:color="auto"/>
        <w:bottom w:val="none" w:sz="0" w:space="0" w:color="auto"/>
        <w:right w:val="none" w:sz="0" w:space="0" w:color="auto"/>
      </w:divBdr>
      <w:divsChild>
        <w:div w:id="1558513943">
          <w:marLeft w:val="0"/>
          <w:marRight w:val="0"/>
          <w:marTop w:val="0"/>
          <w:marBottom w:val="0"/>
          <w:divBdr>
            <w:top w:val="single" w:sz="36" w:space="0" w:color="FFFFFF"/>
            <w:left w:val="none" w:sz="0" w:space="0" w:color="auto"/>
            <w:bottom w:val="none" w:sz="0" w:space="0" w:color="auto"/>
            <w:right w:val="none" w:sz="0" w:space="0" w:color="auto"/>
          </w:divBdr>
          <w:divsChild>
            <w:div w:id="522088725">
              <w:marLeft w:val="180"/>
              <w:marRight w:val="180"/>
              <w:marTop w:val="45"/>
              <w:marBottom w:val="45"/>
              <w:divBdr>
                <w:top w:val="none" w:sz="0" w:space="0" w:color="auto"/>
                <w:left w:val="none" w:sz="0" w:space="0" w:color="auto"/>
                <w:bottom w:val="none" w:sz="0" w:space="0" w:color="auto"/>
                <w:right w:val="none" w:sz="0" w:space="0" w:color="auto"/>
              </w:divBdr>
            </w:div>
          </w:divsChild>
        </w:div>
      </w:divsChild>
    </w:div>
    <w:div w:id="1380401642">
      <w:bodyDiv w:val="1"/>
      <w:marLeft w:val="0"/>
      <w:marRight w:val="0"/>
      <w:marTop w:val="0"/>
      <w:marBottom w:val="0"/>
      <w:divBdr>
        <w:top w:val="none" w:sz="0" w:space="0" w:color="auto"/>
        <w:left w:val="none" w:sz="0" w:space="0" w:color="auto"/>
        <w:bottom w:val="none" w:sz="0" w:space="0" w:color="auto"/>
        <w:right w:val="none" w:sz="0" w:space="0" w:color="auto"/>
      </w:divBdr>
    </w:div>
    <w:div w:id="1402094588">
      <w:bodyDiv w:val="1"/>
      <w:marLeft w:val="0"/>
      <w:marRight w:val="0"/>
      <w:marTop w:val="0"/>
      <w:marBottom w:val="0"/>
      <w:divBdr>
        <w:top w:val="none" w:sz="0" w:space="0" w:color="auto"/>
        <w:left w:val="none" w:sz="0" w:space="0" w:color="auto"/>
        <w:bottom w:val="none" w:sz="0" w:space="0" w:color="auto"/>
        <w:right w:val="none" w:sz="0" w:space="0" w:color="auto"/>
      </w:divBdr>
    </w:div>
    <w:div w:id="1408961070">
      <w:bodyDiv w:val="1"/>
      <w:marLeft w:val="0"/>
      <w:marRight w:val="0"/>
      <w:marTop w:val="0"/>
      <w:marBottom w:val="0"/>
      <w:divBdr>
        <w:top w:val="none" w:sz="0" w:space="0" w:color="auto"/>
        <w:left w:val="none" w:sz="0" w:space="0" w:color="auto"/>
        <w:bottom w:val="none" w:sz="0" w:space="0" w:color="auto"/>
        <w:right w:val="none" w:sz="0" w:space="0" w:color="auto"/>
      </w:divBdr>
    </w:div>
    <w:div w:id="1473912660">
      <w:bodyDiv w:val="1"/>
      <w:marLeft w:val="0"/>
      <w:marRight w:val="0"/>
      <w:marTop w:val="0"/>
      <w:marBottom w:val="0"/>
      <w:divBdr>
        <w:top w:val="none" w:sz="0" w:space="0" w:color="auto"/>
        <w:left w:val="none" w:sz="0" w:space="0" w:color="auto"/>
        <w:bottom w:val="none" w:sz="0" w:space="0" w:color="auto"/>
        <w:right w:val="none" w:sz="0" w:space="0" w:color="auto"/>
      </w:divBdr>
    </w:div>
    <w:div w:id="1529568321">
      <w:bodyDiv w:val="1"/>
      <w:marLeft w:val="0"/>
      <w:marRight w:val="0"/>
      <w:marTop w:val="0"/>
      <w:marBottom w:val="0"/>
      <w:divBdr>
        <w:top w:val="none" w:sz="0" w:space="0" w:color="auto"/>
        <w:left w:val="none" w:sz="0" w:space="0" w:color="auto"/>
        <w:bottom w:val="none" w:sz="0" w:space="0" w:color="auto"/>
        <w:right w:val="none" w:sz="0" w:space="0" w:color="auto"/>
      </w:divBdr>
    </w:div>
    <w:div w:id="1550875808">
      <w:bodyDiv w:val="1"/>
      <w:marLeft w:val="0"/>
      <w:marRight w:val="0"/>
      <w:marTop w:val="0"/>
      <w:marBottom w:val="0"/>
      <w:divBdr>
        <w:top w:val="none" w:sz="0" w:space="0" w:color="auto"/>
        <w:left w:val="none" w:sz="0" w:space="0" w:color="auto"/>
        <w:bottom w:val="none" w:sz="0" w:space="0" w:color="auto"/>
        <w:right w:val="none" w:sz="0" w:space="0" w:color="auto"/>
      </w:divBdr>
    </w:div>
    <w:div w:id="1563444961">
      <w:bodyDiv w:val="1"/>
      <w:marLeft w:val="0"/>
      <w:marRight w:val="0"/>
      <w:marTop w:val="0"/>
      <w:marBottom w:val="0"/>
      <w:divBdr>
        <w:top w:val="none" w:sz="0" w:space="0" w:color="auto"/>
        <w:left w:val="none" w:sz="0" w:space="0" w:color="auto"/>
        <w:bottom w:val="none" w:sz="0" w:space="0" w:color="auto"/>
        <w:right w:val="none" w:sz="0" w:space="0" w:color="auto"/>
      </w:divBdr>
    </w:div>
    <w:div w:id="1635599725">
      <w:bodyDiv w:val="1"/>
      <w:marLeft w:val="0"/>
      <w:marRight w:val="0"/>
      <w:marTop w:val="0"/>
      <w:marBottom w:val="0"/>
      <w:divBdr>
        <w:top w:val="none" w:sz="0" w:space="0" w:color="auto"/>
        <w:left w:val="none" w:sz="0" w:space="0" w:color="auto"/>
        <w:bottom w:val="none" w:sz="0" w:space="0" w:color="auto"/>
        <w:right w:val="none" w:sz="0" w:space="0" w:color="auto"/>
      </w:divBdr>
    </w:div>
    <w:div w:id="1843163113">
      <w:bodyDiv w:val="1"/>
      <w:marLeft w:val="0"/>
      <w:marRight w:val="0"/>
      <w:marTop w:val="0"/>
      <w:marBottom w:val="0"/>
      <w:divBdr>
        <w:top w:val="none" w:sz="0" w:space="0" w:color="auto"/>
        <w:left w:val="none" w:sz="0" w:space="0" w:color="auto"/>
        <w:bottom w:val="none" w:sz="0" w:space="0" w:color="auto"/>
        <w:right w:val="none" w:sz="0" w:space="0" w:color="auto"/>
      </w:divBdr>
    </w:div>
    <w:div w:id="1901557185">
      <w:bodyDiv w:val="1"/>
      <w:marLeft w:val="0"/>
      <w:marRight w:val="0"/>
      <w:marTop w:val="0"/>
      <w:marBottom w:val="0"/>
      <w:divBdr>
        <w:top w:val="none" w:sz="0" w:space="0" w:color="auto"/>
        <w:left w:val="none" w:sz="0" w:space="0" w:color="auto"/>
        <w:bottom w:val="none" w:sz="0" w:space="0" w:color="auto"/>
        <w:right w:val="none" w:sz="0" w:space="0" w:color="auto"/>
      </w:divBdr>
    </w:div>
    <w:div w:id="1989286801">
      <w:bodyDiv w:val="1"/>
      <w:marLeft w:val="0"/>
      <w:marRight w:val="0"/>
      <w:marTop w:val="0"/>
      <w:marBottom w:val="0"/>
      <w:divBdr>
        <w:top w:val="none" w:sz="0" w:space="0" w:color="auto"/>
        <w:left w:val="none" w:sz="0" w:space="0" w:color="auto"/>
        <w:bottom w:val="none" w:sz="0" w:space="0" w:color="auto"/>
        <w:right w:val="none" w:sz="0" w:space="0" w:color="auto"/>
      </w:divBdr>
    </w:div>
    <w:div w:id="2084177356">
      <w:bodyDiv w:val="1"/>
      <w:marLeft w:val="0"/>
      <w:marRight w:val="0"/>
      <w:marTop w:val="0"/>
      <w:marBottom w:val="0"/>
      <w:divBdr>
        <w:top w:val="none" w:sz="0" w:space="0" w:color="auto"/>
        <w:left w:val="none" w:sz="0" w:space="0" w:color="auto"/>
        <w:bottom w:val="none" w:sz="0" w:space="0" w:color="auto"/>
        <w:right w:val="none" w:sz="0" w:space="0" w:color="auto"/>
      </w:divBdr>
    </w:div>
    <w:div w:id="2111074045">
      <w:bodyDiv w:val="1"/>
      <w:marLeft w:val="0"/>
      <w:marRight w:val="0"/>
      <w:marTop w:val="0"/>
      <w:marBottom w:val="0"/>
      <w:divBdr>
        <w:top w:val="none" w:sz="0" w:space="0" w:color="auto"/>
        <w:left w:val="none" w:sz="0" w:space="0" w:color="auto"/>
        <w:bottom w:val="none" w:sz="0" w:space="0" w:color="auto"/>
        <w:right w:val="none" w:sz="0" w:space="0" w:color="auto"/>
      </w:divBdr>
      <w:divsChild>
        <w:div w:id="600264206">
          <w:marLeft w:val="0"/>
          <w:marRight w:val="0"/>
          <w:marTop w:val="0"/>
          <w:marBottom w:val="0"/>
          <w:divBdr>
            <w:top w:val="none" w:sz="0" w:space="0" w:color="auto"/>
            <w:left w:val="none" w:sz="0" w:space="0" w:color="auto"/>
            <w:bottom w:val="none" w:sz="0" w:space="0" w:color="auto"/>
            <w:right w:val="none" w:sz="0" w:space="0" w:color="auto"/>
          </w:divBdr>
          <w:divsChild>
            <w:div w:id="1916895205">
              <w:marLeft w:val="0"/>
              <w:marRight w:val="0"/>
              <w:marTop w:val="0"/>
              <w:marBottom w:val="0"/>
              <w:divBdr>
                <w:top w:val="none" w:sz="0" w:space="0" w:color="auto"/>
                <w:left w:val="none" w:sz="0" w:space="0" w:color="auto"/>
                <w:bottom w:val="none" w:sz="0" w:space="0" w:color="auto"/>
                <w:right w:val="none" w:sz="0" w:space="0" w:color="auto"/>
              </w:divBdr>
              <w:divsChild>
                <w:div w:id="692074353">
                  <w:marLeft w:val="0"/>
                  <w:marRight w:val="0"/>
                  <w:marTop w:val="0"/>
                  <w:marBottom w:val="0"/>
                  <w:divBdr>
                    <w:top w:val="none" w:sz="0" w:space="0" w:color="auto"/>
                    <w:left w:val="none" w:sz="0" w:space="0" w:color="auto"/>
                    <w:bottom w:val="none" w:sz="0" w:space="0" w:color="auto"/>
                    <w:right w:val="none" w:sz="0" w:space="0" w:color="auto"/>
                  </w:divBdr>
                  <w:divsChild>
                    <w:div w:id="1454324144">
                      <w:marLeft w:val="0"/>
                      <w:marRight w:val="300"/>
                      <w:marTop w:val="0"/>
                      <w:marBottom w:val="0"/>
                      <w:divBdr>
                        <w:top w:val="none" w:sz="0" w:space="0" w:color="auto"/>
                        <w:left w:val="none" w:sz="0" w:space="0" w:color="auto"/>
                        <w:bottom w:val="none" w:sz="0" w:space="0" w:color="auto"/>
                        <w:right w:val="none" w:sz="0" w:space="0" w:color="auto"/>
                      </w:divBdr>
                      <w:divsChild>
                        <w:div w:id="51465524">
                          <w:marLeft w:val="0"/>
                          <w:marRight w:val="300"/>
                          <w:marTop w:val="0"/>
                          <w:marBottom w:val="0"/>
                          <w:divBdr>
                            <w:top w:val="none" w:sz="0" w:space="0" w:color="auto"/>
                            <w:left w:val="none" w:sz="0" w:space="0" w:color="auto"/>
                            <w:bottom w:val="none" w:sz="0" w:space="0" w:color="auto"/>
                            <w:right w:val="none" w:sz="0" w:space="0" w:color="auto"/>
                          </w:divBdr>
                          <w:divsChild>
                            <w:div w:id="680857948">
                              <w:marLeft w:val="0"/>
                              <w:marRight w:val="0"/>
                              <w:marTop w:val="0"/>
                              <w:marBottom w:val="0"/>
                              <w:divBdr>
                                <w:top w:val="none" w:sz="0" w:space="0" w:color="auto"/>
                                <w:left w:val="none" w:sz="0" w:space="0" w:color="auto"/>
                                <w:bottom w:val="none" w:sz="0" w:space="0" w:color="auto"/>
                                <w:right w:val="none" w:sz="0" w:space="0" w:color="auto"/>
                              </w:divBdr>
                              <w:divsChild>
                                <w:div w:id="897788278">
                                  <w:marLeft w:val="0"/>
                                  <w:marRight w:val="0"/>
                                  <w:marTop w:val="0"/>
                                  <w:marBottom w:val="0"/>
                                  <w:divBdr>
                                    <w:top w:val="none" w:sz="0" w:space="0" w:color="auto"/>
                                    <w:left w:val="none" w:sz="0" w:space="0" w:color="auto"/>
                                    <w:bottom w:val="none" w:sz="0" w:space="0" w:color="auto"/>
                                    <w:right w:val="none" w:sz="0" w:space="0" w:color="auto"/>
                                  </w:divBdr>
                                  <w:divsChild>
                                    <w:div w:id="1677418597">
                                      <w:marLeft w:val="0"/>
                                      <w:marRight w:val="0"/>
                                      <w:marTop w:val="0"/>
                                      <w:marBottom w:val="0"/>
                                      <w:divBdr>
                                        <w:top w:val="none" w:sz="0" w:space="0" w:color="auto"/>
                                        <w:left w:val="none" w:sz="0" w:space="0" w:color="auto"/>
                                        <w:bottom w:val="none" w:sz="0" w:space="0" w:color="auto"/>
                                        <w:right w:val="none" w:sz="0" w:space="0" w:color="auto"/>
                                      </w:divBdr>
                                      <w:divsChild>
                                        <w:div w:id="1441604993">
                                          <w:marLeft w:val="3"/>
                                          <w:marRight w:val="3"/>
                                          <w:marTop w:val="1"/>
                                          <w:marBottom w:val="2"/>
                                          <w:divBdr>
                                            <w:top w:val="single" w:sz="6" w:space="6" w:color="CCCCCC"/>
                                            <w:left w:val="single" w:sz="6" w:space="6" w:color="CCCCCC"/>
                                            <w:bottom w:val="single" w:sz="6" w:space="6" w:color="CCCCCC"/>
                                            <w:right w:val="single" w:sz="6" w:space="6" w:color="CCCCCC"/>
                                          </w:divBdr>
                                          <w:divsChild>
                                            <w:div w:id="850291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165552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po.gov/fdsys/pkg/USCODE-2016-title42/html/USCODE-2016-title42-chap21-subchapV-sec2000d-1.htm" TargetMode="External"/><Relationship Id="rId18" Type="http://schemas.openxmlformats.org/officeDocument/2006/relationships/hyperlink" Target="https://www.gpo.gov/fdsys/pkg/CFR-2017-title24-vol1/xml/CFR-2017-title24-vol1-part8.xml" TargetMode="External"/><Relationship Id="rId26" Type="http://schemas.openxmlformats.org/officeDocument/2006/relationships/hyperlink" Target="https://www.ecfr.gov/current/title-2/part-170/appendix-Appendix%20A%20to%20Part%20170" TargetMode="External"/><Relationship Id="rId39" Type="http://schemas.openxmlformats.org/officeDocument/2006/relationships/hyperlink" Target="http://www.sec.gov/answers/execomp.htm" TargetMode="External"/><Relationship Id="rId21" Type="http://schemas.openxmlformats.org/officeDocument/2006/relationships/hyperlink" Target="https://hudapps.hud.gov/OpportunityPortal/" TargetMode="External"/><Relationship Id="rId34" Type="http://schemas.openxmlformats.org/officeDocument/2006/relationships/hyperlink" Target="http://www.sec.gov/answers/execomp.htm" TargetMode="External"/><Relationship Id="rId42" Type="http://schemas.openxmlformats.org/officeDocument/2006/relationships/hyperlink" Target="https://www.ecfr.gov/current/title-2/part-25" TargetMode="External"/><Relationship Id="rId47" Type="http://schemas.openxmlformats.org/officeDocument/2006/relationships/hyperlink" Target="https://www.ecfr.gov/current/title-2/subtitle-A/chapter-I/part-25" TargetMode="External"/><Relationship Id="rId50" Type="http://schemas.openxmlformats.org/officeDocument/2006/relationships/hyperlink" Target="https://www.ecfr.gov/current/title-2/subtitle-A/chapter-II/part-200/appendix-Appendix%20XII%20to%20Part%20200" TargetMode="External"/><Relationship Id="rId55" Type="http://schemas.openxmlformats.org/officeDocument/2006/relationships/hyperlink" Target="https://www.hud.gov/sites/dfiles/Main/documents/Memo_on_Criminal_Records.pdf"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gpo.gov/fdsys/pkg/CFR-2017-title28-vol1/xml/CFR-2017-title28-vol1-part35.xml" TargetMode="External"/><Relationship Id="rId20" Type="http://schemas.openxmlformats.org/officeDocument/2006/relationships/hyperlink" Target="https://www.gpo.gov/fdsys/pkg/USCODE-2016-title42/html/USCODE-2016-title42-chap126-subchapIII.htm" TargetMode="External"/><Relationship Id="rId29" Type="http://schemas.openxmlformats.org/officeDocument/2006/relationships/hyperlink" Target="https://www.ecfr.gov/current/title-2/section-170.320" TargetMode="External"/><Relationship Id="rId41" Type="http://schemas.openxmlformats.org/officeDocument/2006/relationships/hyperlink" Target="https://www.govinfo.gov/link/uscode/5/552" TargetMode="External"/><Relationship Id="rId54" Type="http://schemas.openxmlformats.org/officeDocument/2006/relationships/hyperlink" Target="https://www.hud.gov/sites/dfiles/SPM/documents/EO14008TacklingtheClimateCrisis.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po.gov/fdsys/pkg/USCODE-2016-title42/html/USCODE-2016-title42-chap45-subchapI.htm" TargetMode="External"/><Relationship Id="rId24" Type="http://schemas.openxmlformats.org/officeDocument/2006/relationships/hyperlink" Target="https://www.federalregister.gov/documents/2020/08/13/2020-17468/guidance-for-grants-and-agreements" TargetMode="External"/><Relationship Id="rId32" Type="http://schemas.openxmlformats.org/officeDocument/2006/relationships/hyperlink" Target="https://www.govinfo.gov/link/uscode/15/78m" TargetMode="External"/><Relationship Id="rId37" Type="http://schemas.openxmlformats.org/officeDocument/2006/relationships/hyperlink" Target="https://www.govinfo.gov/link/uscode/15/78m" TargetMode="External"/><Relationship Id="rId40" Type="http://schemas.openxmlformats.org/officeDocument/2006/relationships/hyperlink" Target="https://www.govinfo.gov/link/uscode/5/551" TargetMode="External"/><Relationship Id="rId45" Type="http://schemas.openxmlformats.org/officeDocument/2006/relationships/hyperlink" Target="https://www.hud.gov/program_offices/fair_housing_equal_opp/disabilities/504keys" TargetMode="External"/><Relationship Id="rId53" Type="http://schemas.openxmlformats.org/officeDocument/2006/relationships/hyperlink" Target="https://www.whitehouse.gov/wp-content/uploads/2021/07/M-21-28.pdf" TargetMode="External"/><Relationship Id="rId58" Type="http://schemas.openxmlformats.org/officeDocument/2006/relationships/hyperlink" Target="http://uscode.house.gov/view.xhtml?req=(title:41%20section:4712%20edition:prelim)" TargetMode="External"/><Relationship Id="rId5" Type="http://schemas.openxmlformats.org/officeDocument/2006/relationships/numbering" Target="numbering.xml"/><Relationship Id="rId15" Type="http://schemas.openxmlformats.org/officeDocument/2006/relationships/hyperlink" Target="https://www.gpo.gov/fdsys/pkg/USCODE-2016-title42/html/USCODE-2016-title42-chap76.htm" TargetMode="External"/><Relationship Id="rId23" Type="http://schemas.openxmlformats.org/officeDocument/2006/relationships/hyperlink" Target="https://www.hud.gov/program_offices/cio/Section_508_At_HUD" TargetMode="External"/><Relationship Id="rId28" Type="http://schemas.openxmlformats.org/officeDocument/2006/relationships/hyperlink" Target="http://www.fsrs.gov" TargetMode="External"/><Relationship Id="rId36" Type="http://schemas.openxmlformats.org/officeDocument/2006/relationships/hyperlink" Target="https://www.ecfr.gov/current/title-2/section-170.320" TargetMode="External"/><Relationship Id="rId49" Type="http://schemas.openxmlformats.org/officeDocument/2006/relationships/hyperlink" Target="http://www.sam.gov" TargetMode="External"/><Relationship Id="rId57" Type="http://schemas.openxmlformats.org/officeDocument/2006/relationships/hyperlink" Target="https://www.govinfo.gov/link/uscode/10/2409" TargetMode="External"/><Relationship Id="rId61"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gpo.gov/fdsys/pkg/USCODE-2016-title42/html/USCODE-2016-title42-chap126-subchapII.htm" TargetMode="External"/><Relationship Id="rId31" Type="http://schemas.openxmlformats.org/officeDocument/2006/relationships/hyperlink" Target="https://www.ecfr.gov/current/title-2/section-170.320" TargetMode="External"/><Relationship Id="rId44" Type="http://schemas.openxmlformats.org/officeDocument/2006/relationships/hyperlink" Target="https://www.ecfr.gov/current/title-17/section-229.402" TargetMode="External"/><Relationship Id="rId52" Type="http://schemas.openxmlformats.org/officeDocument/2006/relationships/hyperlink" Target="https://www.hud.gov/sites/dfiles/SPM/documents/EO14008TacklingtheClimateCrisis.pdf" TargetMode="External"/><Relationship Id="rId6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po.gov/fdsys/pkg/CFR-2017-title24-vol1/xml/CFR-2017-title24-vol1-part1.xml" TargetMode="External"/><Relationship Id="rId22" Type="http://schemas.openxmlformats.org/officeDocument/2006/relationships/hyperlink" Target="https://www.federalregister.gov/documents/2007/01/22/07-217/final-guidance-to-federal-financial-assistance-recipients-regarding-title-vi-prohibition-against" TargetMode="External"/><Relationship Id="rId27" Type="http://schemas.openxmlformats.org/officeDocument/2006/relationships/hyperlink" Target="http://www.fsrs.gov" TargetMode="External"/><Relationship Id="rId30" Type="http://schemas.openxmlformats.org/officeDocument/2006/relationships/hyperlink" Target="https://www.ecfr.gov/current/title-2/section-170.320" TargetMode="External"/><Relationship Id="rId35" Type="http://schemas.openxmlformats.org/officeDocument/2006/relationships/hyperlink" Target="https://www.sam.gov" TargetMode="External"/><Relationship Id="rId43" Type="http://schemas.openxmlformats.org/officeDocument/2006/relationships/hyperlink" Target="https://www.ecfr.gov/current/title-2/section-200.331" TargetMode="External"/><Relationship Id="rId48" Type="http://schemas.openxmlformats.org/officeDocument/2006/relationships/hyperlink" Target="https://www.ecfr.gov/current/title-2/part-25/appendix-Appendix%20A%20to%20Part%2025" TargetMode="External"/><Relationship Id="rId56" Type="http://schemas.openxmlformats.org/officeDocument/2006/relationships/hyperlink" Target="https://www.hudoig.gov/hotline/hotline-form" TargetMode="External"/><Relationship Id="rId8" Type="http://schemas.openxmlformats.org/officeDocument/2006/relationships/webSettings" Target="webSettings.xml"/><Relationship Id="rId51" Type="http://schemas.openxmlformats.org/officeDocument/2006/relationships/hyperlink" Target="https://www.hud.gov/sites/dfiles/SPM/documents/EO12898FederalActionstoAddressEnvironmentalJustice.pdf" TargetMode="External"/><Relationship Id="rId3" Type="http://schemas.openxmlformats.org/officeDocument/2006/relationships/customXml" Target="../customXml/item3.xml"/><Relationship Id="rId12" Type="http://schemas.openxmlformats.org/officeDocument/2006/relationships/hyperlink" Target="https://www.govinfo.gov/content/pkg/CFR-2012-title24-vol1/xml/CFR-2012-title24-vol1-part100.xml" TargetMode="External"/><Relationship Id="rId17" Type="http://schemas.openxmlformats.org/officeDocument/2006/relationships/hyperlink" Target="https://www.gpo.gov/fdsys/pkg/USCODE-2016-title29/html/USCODE-2016-title29-chap16-subchapV-sec794d.htm" TargetMode="External"/><Relationship Id="rId25" Type="http://schemas.openxmlformats.org/officeDocument/2006/relationships/hyperlink" Target="https://www.federalregister.gov/documents/2021/02/22/2021-02969/guidance-for-grants-and-agreements" TargetMode="External"/><Relationship Id="rId33" Type="http://schemas.openxmlformats.org/officeDocument/2006/relationships/hyperlink" Target="https://www.govinfo.gov/link/uscode/15/78o" TargetMode="External"/><Relationship Id="rId38" Type="http://schemas.openxmlformats.org/officeDocument/2006/relationships/hyperlink" Target="https://www.govinfo.gov/link/uscode/15/78o" TargetMode="External"/><Relationship Id="rId46" Type="http://schemas.openxmlformats.org/officeDocument/2006/relationships/hyperlink" Target="https://www.hud.gov/program_offices/spm/gmomgmt/grantsinfo/conductgrants" TargetMode="External"/><Relationship Id="rId5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3B9917BF637764BB3ED43D31A95DA47" ma:contentTypeVersion="4" ma:contentTypeDescription="Create a new document." ma:contentTypeScope="" ma:versionID="552838f1539183299bfef58518e8bbd1">
  <xsd:schema xmlns:xsd="http://www.w3.org/2001/XMLSchema" xmlns:xs="http://www.w3.org/2001/XMLSchema" xmlns:p="http://schemas.microsoft.com/office/2006/metadata/properties" xmlns:ns2="c37c74ed-3543-454c-80ec-6a6a4f15fa2c" xmlns:ns3="dd4c2a8d-3f94-4afe-a15c-d04104af08ee" targetNamespace="http://schemas.microsoft.com/office/2006/metadata/properties" ma:root="true" ma:fieldsID="2c6edee90186f9639a802639f74ff6a2" ns2:_="" ns3:_="">
    <xsd:import namespace="c37c74ed-3543-454c-80ec-6a6a4f15fa2c"/>
    <xsd:import namespace="dd4c2a8d-3f94-4afe-a15c-d04104af08e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7c74ed-3543-454c-80ec-6a6a4f15fa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d4c2a8d-3f94-4afe-a15c-d04104af08e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dd4c2a8d-3f94-4afe-a15c-d04104af08ee">
      <UserInfo>
        <DisplayName>Minor Smith, Corey L</DisplayName>
        <AccountId>34</AccountId>
        <AccountType/>
      </UserInfo>
      <UserInfo>
        <DisplayName>Yorkshire, Dorthera</DisplayName>
        <AccountId>9</AccountId>
        <AccountType/>
      </UserInfo>
    </SharedWithUsers>
  </documentManagement>
</p:properties>
</file>

<file path=customXml/itemProps1.xml><?xml version="1.0" encoding="utf-8"?>
<ds:datastoreItem xmlns:ds="http://schemas.openxmlformats.org/officeDocument/2006/customXml" ds:itemID="{49919806-7D0D-4752-A293-457E3D4EF556}">
  <ds:schemaRefs>
    <ds:schemaRef ds:uri="http://schemas.microsoft.com/sharepoint/v3/contenttype/forms"/>
  </ds:schemaRefs>
</ds:datastoreItem>
</file>

<file path=customXml/itemProps2.xml><?xml version="1.0" encoding="utf-8"?>
<ds:datastoreItem xmlns:ds="http://schemas.openxmlformats.org/officeDocument/2006/customXml" ds:itemID="{1CDE4CFB-EA8A-4B13-B6F6-4906CA65F1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7c74ed-3543-454c-80ec-6a6a4f15fa2c"/>
    <ds:schemaRef ds:uri="dd4c2a8d-3f94-4afe-a15c-d04104af08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A0525F-3802-47C3-B2DC-A8B693610BD2}">
  <ds:schemaRefs>
    <ds:schemaRef ds:uri="http://schemas.openxmlformats.org/officeDocument/2006/bibliography"/>
  </ds:schemaRefs>
</ds:datastoreItem>
</file>

<file path=customXml/itemProps4.xml><?xml version="1.0" encoding="utf-8"?>
<ds:datastoreItem xmlns:ds="http://schemas.openxmlformats.org/officeDocument/2006/customXml" ds:itemID="{4A25C203-619B-4C18-A3CC-846116420B65}">
  <ds:schemaRefs>
    <ds:schemaRef ds:uri="http://purl.org/dc/terms/"/>
    <ds:schemaRef ds:uri="dd4c2a8d-3f94-4afe-a15c-d04104af08ee"/>
    <ds:schemaRef ds:uri="http://schemas.microsoft.com/office/2006/documentManagement/types"/>
    <ds:schemaRef ds:uri="http://schemas.microsoft.com/office/2006/metadata/properties"/>
    <ds:schemaRef ds:uri="http://purl.org/dc/elements/1.1/"/>
    <ds:schemaRef ds:uri="http://schemas.microsoft.com/office/infopath/2007/PartnerControls"/>
    <ds:schemaRef ds:uri="http://schemas.openxmlformats.org/package/2006/metadata/core-properties"/>
    <ds:schemaRef ds:uri="c37c74ed-3543-454c-80ec-6a6a4f15fa2c"/>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7506</Words>
  <Characters>42789</Characters>
  <Application>Microsoft Office Word</Application>
  <DocSecurity>12</DocSecurity>
  <Lines>356</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50195</CharactersWithSpaces>
  <SharedDoc>false</SharedDoc>
  <HLinks>
    <vt:vector size="324" baseType="variant">
      <vt:variant>
        <vt:i4>6094854</vt:i4>
      </vt:variant>
      <vt:variant>
        <vt:i4>159</vt:i4>
      </vt:variant>
      <vt:variant>
        <vt:i4>0</vt:i4>
      </vt:variant>
      <vt:variant>
        <vt:i4>5</vt:i4>
      </vt:variant>
      <vt:variant>
        <vt:lpwstr>http://uscode.house.gov/view.xhtml?req=(title:41%20section:4712%20edition:prelim)</vt:lpwstr>
      </vt:variant>
      <vt:variant>
        <vt:lpwstr/>
      </vt:variant>
      <vt:variant>
        <vt:i4>2818111</vt:i4>
      </vt:variant>
      <vt:variant>
        <vt:i4>156</vt:i4>
      </vt:variant>
      <vt:variant>
        <vt:i4>0</vt:i4>
      </vt:variant>
      <vt:variant>
        <vt:i4>5</vt:i4>
      </vt:variant>
      <vt:variant>
        <vt:lpwstr>https://www.govinfo.gov/link/uscode/10/2409</vt:lpwstr>
      </vt:variant>
      <vt:variant>
        <vt:lpwstr/>
      </vt:variant>
      <vt:variant>
        <vt:i4>3145766</vt:i4>
      </vt:variant>
      <vt:variant>
        <vt:i4>153</vt:i4>
      </vt:variant>
      <vt:variant>
        <vt:i4>0</vt:i4>
      </vt:variant>
      <vt:variant>
        <vt:i4>5</vt:i4>
      </vt:variant>
      <vt:variant>
        <vt:lpwstr>https://www.hudoig.gov/hotline/hotline-form</vt:lpwstr>
      </vt:variant>
      <vt:variant>
        <vt:lpwstr/>
      </vt:variant>
      <vt:variant>
        <vt:i4>2555998</vt:i4>
      </vt:variant>
      <vt:variant>
        <vt:i4>150</vt:i4>
      </vt:variant>
      <vt:variant>
        <vt:i4>0</vt:i4>
      </vt:variant>
      <vt:variant>
        <vt:i4>5</vt:i4>
      </vt:variant>
      <vt:variant>
        <vt:lpwstr>https://www.hud.gov/sites/dfiles/Main/documents/Memo_on_Criminal_Records.pdf</vt:lpwstr>
      </vt:variant>
      <vt:variant>
        <vt:lpwstr/>
      </vt:variant>
      <vt:variant>
        <vt:i4>3801126</vt:i4>
      </vt:variant>
      <vt:variant>
        <vt:i4>147</vt:i4>
      </vt:variant>
      <vt:variant>
        <vt:i4>0</vt:i4>
      </vt:variant>
      <vt:variant>
        <vt:i4>5</vt:i4>
      </vt:variant>
      <vt:variant>
        <vt:lpwstr>https://www.hud.gov/sites/dfiles/SPM/documents/EO14008TacklingtheClimateCrisis.pdf</vt:lpwstr>
      </vt:variant>
      <vt:variant>
        <vt:lpwstr/>
      </vt:variant>
      <vt:variant>
        <vt:i4>1245196</vt:i4>
      </vt:variant>
      <vt:variant>
        <vt:i4>144</vt:i4>
      </vt:variant>
      <vt:variant>
        <vt:i4>0</vt:i4>
      </vt:variant>
      <vt:variant>
        <vt:i4>5</vt:i4>
      </vt:variant>
      <vt:variant>
        <vt:lpwstr>https://www.whitehouse.gov/wp-content/uploads/2021/07/M-21-28.pdf</vt:lpwstr>
      </vt:variant>
      <vt:variant>
        <vt:lpwstr/>
      </vt:variant>
      <vt:variant>
        <vt:i4>3801126</vt:i4>
      </vt:variant>
      <vt:variant>
        <vt:i4>141</vt:i4>
      </vt:variant>
      <vt:variant>
        <vt:i4>0</vt:i4>
      </vt:variant>
      <vt:variant>
        <vt:i4>5</vt:i4>
      </vt:variant>
      <vt:variant>
        <vt:lpwstr>https://www.hud.gov/sites/dfiles/SPM/documents/EO14008TacklingtheClimateCrisis.pdf</vt:lpwstr>
      </vt:variant>
      <vt:variant>
        <vt:lpwstr/>
      </vt:variant>
      <vt:variant>
        <vt:i4>786433</vt:i4>
      </vt:variant>
      <vt:variant>
        <vt:i4>138</vt:i4>
      </vt:variant>
      <vt:variant>
        <vt:i4>0</vt:i4>
      </vt:variant>
      <vt:variant>
        <vt:i4>5</vt:i4>
      </vt:variant>
      <vt:variant>
        <vt:lpwstr>https://www.hud.gov/sites/dfiles/SPM/documents/EO12898FederalActionstoAddressEnvironmentalJustice.pdf</vt:lpwstr>
      </vt:variant>
      <vt:variant>
        <vt:lpwstr/>
      </vt:variant>
      <vt:variant>
        <vt:i4>720920</vt:i4>
      </vt:variant>
      <vt:variant>
        <vt:i4>135</vt:i4>
      </vt:variant>
      <vt:variant>
        <vt:i4>0</vt:i4>
      </vt:variant>
      <vt:variant>
        <vt:i4>5</vt:i4>
      </vt:variant>
      <vt:variant>
        <vt:lpwstr>https://www.ecfr.gov/current/title-2/subtitle-A/chapter-II/part-200/appendix-Appendix XII to Part 200</vt:lpwstr>
      </vt:variant>
      <vt:variant>
        <vt:lpwstr/>
      </vt:variant>
      <vt:variant>
        <vt:i4>2359408</vt:i4>
      </vt:variant>
      <vt:variant>
        <vt:i4>132</vt:i4>
      </vt:variant>
      <vt:variant>
        <vt:i4>0</vt:i4>
      </vt:variant>
      <vt:variant>
        <vt:i4>5</vt:i4>
      </vt:variant>
      <vt:variant>
        <vt:lpwstr>http://www.sam.gov/</vt:lpwstr>
      </vt:variant>
      <vt:variant>
        <vt:lpwstr/>
      </vt:variant>
      <vt:variant>
        <vt:i4>2424886</vt:i4>
      </vt:variant>
      <vt:variant>
        <vt:i4>129</vt:i4>
      </vt:variant>
      <vt:variant>
        <vt:i4>0</vt:i4>
      </vt:variant>
      <vt:variant>
        <vt:i4>5</vt:i4>
      </vt:variant>
      <vt:variant>
        <vt:lpwstr>https://www.ecfr.gov/current/title-2/part-25/appendix-Appendix A to Part 25</vt:lpwstr>
      </vt:variant>
      <vt:variant>
        <vt:lpwstr/>
      </vt:variant>
      <vt:variant>
        <vt:i4>5308511</vt:i4>
      </vt:variant>
      <vt:variant>
        <vt:i4>126</vt:i4>
      </vt:variant>
      <vt:variant>
        <vt:i4>0</vt:i4>
      </vt:variant>
      <vt:variant>
        <vt:i4>5</vt:i4>
      </vt:variant>
      <vt:variant>
        <vt:lpwstr>https://www.ecfr.gov/current/title-2/subtitle-A/chapter-I/part-25</vt:lpwstr>
      </vt:variant>
      <vt:variant>
        <vt:lpwstr/>
      </vt:variant>
      <vt:variant>
        <vt:i4>4718682</vt:i4>
      </vt:variant>
      <vt:variant>
        <vt:i4>123</vt:i4>
      </vt:variant>
      <vt:variant>
        <vt:i4>0</vt:i4>
      </vt:variant>
      <vt:variant>
        <vt:i4>5</vt:i4>
      </vt:variant>
      <vt:variant>
        <vt:lpwstr>https://www.hud.gov/program_offices/general_counsel/BABA</vt:lpwstr>
      </vt:variant>
      <vt:variant>
        <vt:lpwstr/>
      </vt:variant>
      <vt:variant>
        <vt:i4>4718682</vt:i4>
      </vt:variant>
      <vt:variant>
        <vt:i4>120</vt:i4>
      </vt:variant>
      <vt:variant>
        <vt:i4>0</vt:i4>
      </vt:variant>
      <vt:variant>
        <vt:i4>5</vt:i4>
      </vt:variant>
      <vt:variant>
        <vt:lpwstr>https://www.hud.gov/program_offices/general_counsel/BABA</vt:lpwstr>
      </vt:variant>
      <vt:variant>
        <vt:lpwstr/>
      </vt:variant>
      <vt:variant>
        <vt:i4>65609</vt:i4>
      </vt:variant>
      <vt:variant>
        <vt:i4>117</vt:i4>
      </vt:variant>
      <vt:variant>
        <vt:i4>0</vt:i4>
      </vt:variant>
      <vt:variant>
        <vt:i4>5</vt:i4>
      </vt:variant>
      <vt:variant>
        <vt:lpwstr>https://www.hud.gov/sites/dfiles/GC/documents/6331-N-02 HUD Tribal BAB Waiver.pdf</vt:lpwstr>
      </vt:variant>
      <vt:variant>
        <vt:lpwstr/>
      </vt:variant>
      <vt:variant>
        <vt:i4>1638400</vt:i4>
      </vt:variant>
      <vt:variant>
        <vt:i4>114</vt:i4>
      </vt:variant>
      <vt:variant>
        <vt:i4>0</vt:i4>
      </vt:variant>
      <vt:variant>
        <vt:i4>5</vt:i4>
      </vt:variant>
      <vt:variant>
        <vt:lpwstr>https://www.hud.gov/sites/dfiles/GC/documents/6331-N-01 HUD General Applicability BABA Waiver.pdf</vt:lpwstr>
      </vt:variant>
      <vt:variant>
        <vt:lpwstr/>
      </vt:variant>
      <vt:variant>
        <vt:i4>1638400</vt:i4>
      </vt:variant>
      <vt:variant>
        <vt:i4>111</vt:i4>
      </vt:variant>
      <vt:variant>
        <vt:i4>0</vt:i4>
      </vt:variant>
      <vt:variant>
        <vt:i4>5</vt:i4>
      </vt:variant>
      <vt:variant>
        <vt:lpwstr>https://www.hud.gov/sites/dfiles/GC/documents/6331-N-01 HUD General Applicability BABA Waiver.pdf</vt:lpwstr>
      </vt:variant>
      <vt:variant>
        <vt:lpwstr/>
      </vt:variant>
      <vt:variant>
        <vt:i4>1638400</vt:i4>
      </vt:variant>
      <vt:variant>
        <vt:i4>108</vt:i4>
      </vt:variant>
      <vt:variant>
        <vt:i4>0</vt:i4>
      </vt:variant>
      <vt:variant>
        <vt:i4>5</vt:i4>
      </vt:variant>
      <vt:variant>
        <vt:lpwstr>https://www.hud.gov/sites/dfiles/GC/documents/6331-N-01 HUD General Applicability BABA Waiver.pdf</vt:lpwstr>
      </vt:variant>
      <vt:variant>
        <vt:lpwstr/>
      </vt:variant>
      <vt:variant>
        <vt:i4>2949129</vt:i4>
      </vt:variant>
      <vt:variant>
        <vt:i4>105</vt:i4>
      </vt:variant>
      <vt:variant>
        <vt:i4>0</vt:i4>
      </vt:variant>
      <vt:variant>
        <vt:i4>5</vt:i4>
      </vt:variant>
      <vt:variant>
        <vt:lpwstr>https://www.hud.gov/program_offices/spm/gmomgmt/grantsinfo/conductgrants</vt:lpwstr>
      </vt:variant>
      <vt:variant>
        <vt:lpwstr/>
      </vt:variant>
      <vt:variant>
        <vt:i4>5963871</vt:i4>
      </vt:variant>
      <vt:variant>
        <vt:i4>102</vt:i4>
      </vt:variant>
      <vt:variant>
        <vt:i4>0</vt:i4>
      </vt:variant>
      <vt:variant>
        <vt:i4>5</vt:i4>
      </vt:variant>
      <vt:variant>
        <vt:lpwstr>https://www.hud.gov/program_offices/fair_housing_equal_opp/disabilities/504keys</vt:lpwstr>
      </vt:variant>
      <vt:variant>
        <vt:lpwstr/>
      </vt:variant>
      <vt:variant>
        <vt:i4>8257642</vt:i4>
      </vt:variant>
      <vt:variant>
        <vt:i4>99</vt:i4>
      </vt:variant>
      <vt:variant>
        <vt:i4>0</vt:i4>
      </vt:variant>
      <vt:variant>
        <vt:i4>5</vt:i4>
      </vt:variant>
      <vt:variant>
        <vt:lpwstr>https://www.ecfr.gov/current/title-17/section-229.402</vt:lpwstr>
      </vt:variant>
      <vt:variant>
        <vt:lpwstr>p-229.402(c)(2)</vt:lpwstr>
      </vt:variant>
      <vt:variant>
        <vt:i4>524306</vt:i4>
      </vt:variant>
      <vt:variant>
        <vt:i4>96</vt:i4>
      </vt:variant>
      <vt:variant>
        <vt:i4>0</vt:i4>
      </vt:variant>
      <vt:variant>
        <vt:i4>5</vt:i4>
      </vt:variant>
      <vt:variant>
        <vt:lpwstr>https://www.ecfr.gov/current/title-2/section-200.331</vt:lpwstr>
      </vt:variant>
      <vt:variant>
        <vt:lpwstr/>
      </vt:variant>
      <vt:variant>
        <vt:i4>327755</vt:i4>
      </vt:variant>
      <vt:variant>
        <vt:i4>93</vt:i4>
      </vt:variant>
      <vt:variant>
        <vt:i4>0</vt:i4>
      </vt:variant>
      <vt:variant>
        <vt:i4>5</vt:i4>
      </vt:variant>
      <vt:variant>
        <vt:lpwstr>https://www.ecfr.gov/current/title-2/part-25</vt:lpwstr>
      </vt:variant>
      <vt:variant>
        <vt:lpwstr/>
      </vt:variant>
      <vt:variant>
        <vt:i4>196629</vt:i4>
      </vt:variant>
      <vt:variant>
        <vt:i4>90</vt:i4>
      </vt:variant>
      <vt:variant>
        <vt:i4>0</vt:i4>
      </vt:variant>
      <vt:variant>
        <vt:i4>5</vt:i4>
      </vt:variant>
      <vt:variant>
        <vt:lpwstr>https://www.govinfo.gov/link/uscode/5/552</vt:lpwstr>
      </vt:variant>
      <vt:variant>
        <vt:lpwstr/>
      </vt:variant>
      <vt:variant>
        <vt:i4>196629</vt:i4>
      </vt:variant>
      <vt:variant>
        <vt:i4>87</vt:i4>
      </vt:variant>
      <vt:variant>
        <vt:i4>0</vt:i4>
      </vt:variant>
      <vt:variant>
        <vt:i4>5</vt:i4>
      </vt:variant>
      <vt:variant>
        <vt:lpwstr>https://www.govinfo.gov/link/uscode/5/551</vt:lpwstr>
      </vt:variant>
      <vt:variant>
        <vt:lpwstr/>
      </vt:variant>
      <vt:variant>
        <vt:i4>3407923</vt:i4>
      </vt:variant>
      <vt:variant>
        <vt:i4>84</vt:i4>
      </vt:variant>
      <vt:variant>
        <vt:i4>0</vt:i4>
      </vt:variant>
      <vt:variant>
        <vt:i4>5</vt:i4>
      </vt:variant>
      <vt:variant>
        <vt:lpwstr>http://www.sec.gov/answers/execomp.htm</vt:lpwstr>
      </vt:variant>
      <vt:variant>
        <vt:lpwstr/>
      </vt:variant>
      <vt:variant>
        <vt:i4>7602227</vt:i4>
      </vt:variant>
      <vt:variant>
        <vt:i4>81</vt:i4>
      </vt:variant>
      <vt:variant>
        <vt:i4>0</vt:i4>
      </vt:variant>
      <vt:variant>
        <vt:i4>5</vt:i4>
      </vt:variant>
      <vt:variant>
        <vt:lpwstr>https://www.govinfo.gov/link/uscode/15/78o</vt:lpwstr>
      </vt:variant>
      <vt:variant>
        <vt:lpwstr/>
      </vt:variant>
      <vt:variant>
        <vt:i4>7733299</vt:i4>
      </vt:variant>
      <vt:variant>
        <vt:i4>78</vt:i4>
      </vt:variant>
      <vt:variant>
        <vt:i4>0</vt:i4>
      </vt:variant>
      <vt:variant>
        <vt:i4>5</vt:i4>
      </vt:variant>
      <vt:variant>
        <vt:lpwstr>https://www.govinfo.gov/link/uscode/15/78m</vt:lpwstr>
      </vt:variant>
      <vt:variant>
        <vt:lpwstr/>
      </vt:variant>
      <vt:variant>
        <vt:i4>655380</vt:i4>
      </vt:variant>
      <vt:variant>
        <vt:i4>75</vt:i4>
      </vt:variant>
      <vt:variant>
        <vt:i4>0</vt:i4>
      </vt:variant>
      <vt:variant>
        <vt:i4>5</vt:i4>
      </vt:variant>
      <vt:variant>
        <vt:lpwstr>https://www.ecfr.gov/current/title-2/section-170.320</vt:lpwstr>
      </vt:variant>
      <vt:variant>
        <vt:lpwstr/>
      </vt:variant>
      <vt:variant>
        <vt:i4>4653135</vt:i4>
      </vt:variant>
      <vt:variant>
        <vt:i4>72</vt:i4>
      </vt:variant>
      <vt:variant>
        <vt:i4>0</vt:i4>
      </vt:variant>
      <vt:variant>
        <vt:i4>5</vt:i4>
      </vt:variant>
      <vt:variant>
        <vt:lpwstr>https://www.sam.gov/</vt:lpwstr>
      </vt:variant>
      <vt:variant>
        <vt:lpwstr/>
      </vt:variant>
      <vt:variant>
        <vt:i4>3407923</vt:i4>
      </vt:variant>
      <vt:variant>
        <vt:i4>69</vt:i4>
      </vt:variant>
      <vt:variant>
        <vt:i4>0</vt:i4>
      </vt:variant>
      <vt:variant>
        <vt:i4>5</vt:i4>
      </vt:variant>
      <vt:variant>
        <vt:lpwstr>http://www.sec.gov/answers/execomp.htm</vt:lpwstr>
      </vt:variant>
      <vt:variant>
        <vt:lpwstr/>
      </vt:variant>
      <vt:variant>
        <vt:i4>7602227</vt:i4>
      </vt:variant>
      <vt:variant>
        <vt:i4>66</vt:i4>
      </vt:variant>
      <vt:variant>
        <vt:i4>0</vt:i4>
      </vt:variant>
      <vt:variant>
        <vt:i4>5</vt:i4>
      </vt:variant>
      <vt:variant>
        <vt:lpwstr>https://www.govinfo.gov/link/uscode/15/78o</vt:lpwstr>
      </vt:variant>
      <vt:variant>
        <vt:lpwstr/>
      </vt:variant>
      <vt:variant>
        <vt:i4>7733299</vt:i4>
      </vt:variant>
      <vt:variant>
        <vt:i4>63</vt:i4>
      </vt:variant>
      <vt:variant>
        <vt:i4>0</vt:i4>
      </vt:variant>
      <vt:variant>
        <vt:i4>5</vt:i4>
      </vt:variant>
      <vt:variant>
        <vt:lpwstr>https://www.govinfo.gov/link/uscode/15/78m</vt:lpwstr>
      </vt:variant>
      <vt:variant>
        <vt:lpwstr/>
      </vt:variant>
      <vt:variant>
        <vt:i4>655380</vt:i4>
      </vt:variant>
      <vt:variant>
        <vt:i4>60</vt:i4>
      </vt:variant>
      <vt:variant>
        <vt:i4>0</vt:i4>
      </vt:variant>
      <vt:variant>
        <vt:i4>5</vt:i4>
      </vt:variant>
      <vt:variant>
        <vt:lpwstr>https://www.ecfr.gov/current/title-2/section-170.320</vt:lpwstr>
      </vt:variant>
      <vt:variant>
        <vt:lpwstr/>
      </vt:variant>
      <vt:variant>
        <vt:i4>655380</vt:i4>
      </vt:variant>
      <vt:variant>
        <vt:i4>57</vt:i4>
      </vt:variant>
      <vt:variant>
        <vt:i4>0</vt:i4>
      </vt:variant>
      <vt:variant>
        <vt:i4>5</vt:i4>
      </vt:variant>
      <vt:variant>
        <vt:lpwstr>https://www.ecfr.gov/current/title-2/section-170.320</vt:lpwstr>
      </vt:variant>
      <vt:variant>
        <vt:lpwstr/>
      </vt:variant>
      <vt:variant>
        <vt:i4>655380</vt:i4>
      </vt:variant>
      <vt:variant>
        <vt:i4>54</vt:i4>
      </vt:variant>
      <vt:variant>
        <vt:i4>0</vt:i4>
      </vt:variant>
      <vt:variant>
        <vt:i4>5</vt:i4>
      </vt:variant>
      <vt:variant>
        <vt:lpwstr>https://www.ecfr.gov/current/title-2/section-170.320</vt:lpwstr>
      </vt:variant>
      <vt:variant>
        <vt:lpwstr/>
      </vt:variant>
      <vt:variant>
        <vt:i4>5308481</vt:i4>
      </vt:variant>
      <vt:variant>
        <vt:i4>51</vt:i4>
      </vt:variant>
      <vt:variant>
        <vt:i4>0</vt:i4>
      </vt:variant>
      <vt:variant>
        <vt:i4>5</vt:i4>
      </vt:variant>
      <vt:variant>
        <vt:lpwstr>http://www.fsrs.gov/</vt:lpwstr>
      </vt:variant>
      <vt:variant>
        <vt:lpwstr/>
      </vt:variant>
      <vt:variant>
        <vt:i4>5308481</vt:i4>
      </vt:variant>
      <vt:variant>
        <vt:i4>48</vt:i4>
      </vt:variant>
      <vt:variant>
        <vt:i4>0</vt:i4>
      </vt:variant>
      <vt:variant>
        <vt:i4>5</vt:i4>
      </vt:variant>
      <vt:variant>
        <vt:lpwstr>http://www.fsrs.gov/</vt:lpwstr>
      </vt:variant>
      <vt:variant>
        <vt:lpwstr/>
      </vt:variant>
      <vt:variant>
        <vt:i4>5046363</vt:i4>
      </vt:variant>
      <vt:variant>
        <vt:i4>45</vt:i4>
      </vt:variant>
      <vt:variant>
        <vt:i4>0</vt:i4>
      </vt:variant>
      <vt:variant>
        <vt:i4>5</vt:i4>
      </vt:variant>
      <vt:variant>
        <vt:lpwstr>https://www.ecfr.gov/current/title-2/part-170/appendix-Appendix A to Part 170</vt:lpwstr>
      </vt:variant>
      <vt:variant>
        <vt:lpwstr/>
      </vt:variant>
      <vt:variant>
        <vt:i4>2752623</vt:i4>
      </vt:variant>
      <vt:variant>
        <vt:i4>42</vt:i4>
      </vt:variant>
      <vt:variant>
        <vt:i4>0</vt:i4>
      </vt:variant>
      <vt:variant>
        <vt:i4>5</vt:i4>
      </vt:variant>
      <vt:variant>
        <vt:lpwstr>https://www.federalregister.gov/documents/2021/02/22/2021-02969/guidance-for-grants-and-agreements</vt:lpwstr>
      </vt:variant>
      <vt:variant>
        <vt:lpwstr/>
      </vt:variant>
      <vt:variant>
        <vt:i4>3080298</vt:i4>
      </vt:variant>
      <vt:variant>
        <vt:i4>39</vt:i4>
      </vt:variant>
      <vt:variant>
        <vt:i4>0</vt:i4>
      </vt:variant>
      <vt:variant>
        <vt:i4>5</vt:i4>
      </vt:variant>
      <vt:variant>
        <vt:lpwstr>https://www.federalregister.gov/documents/2020/08/13/2020-17468/guidance-for-grants-and-agreements</vt:lpwstr>
      </vt:variant>
      <vt:variant>
        <vt:lpwstr/>
      </vt:variant>
      <vt:variant>
        <vt:i4>5046297</vt:i4>
      </vt:variant>
      <vt:variant>
        <vt:i4>36</vt:i4>
      </vt:variant>
      <vt:variant>
        <vt:i4>0</vt:i4>
      </vt:variant>
      <vt:variant>
        <vt:i4>5</vt:i4>
      </vt:variant>
      <vt:variant>
        <vt:lpwstr>https://www.hud.gov/program_offices/cio/Section_508_At_HUD</vt:lpwstr>
      </vt:variant>
      <vt:variant>
        <vt:lpwstr/>
      </vt:variant>
      <vt:variant>
        <vt:i4>1835012</vt:i4>
      </vt:variant>
      <vt:variant>
        <vt:i4>33</vt:i4>
      </vt:variant>
      <vt:variant>
        <vt:i4>0</vt:i4>
      </vt:variant>
      <vt:variant>
        <vt:i4>5</vt:i4>
      </vt:variant>
      <vt:variant>
        <vt:lpwstr>https://www.federalregister.gov/documents/2007/01/22/07-217/final-guidance-to-federal-financial-assistance-recipients-regarding-title-vi-prohibition-against</vt:lpwstr>
      </vt:variant>
      <vt:variant>
        <vt:lpwstr/>
      </vt:variant>
      <vt:variant>
        <vt:i4>8192045</vt:i4>
      </vt:variant>
      <vt:variant>
        <vt:i4>30</vt:i4>
      </vt:variant>
      <vt:variant>
        <vt:i4>0</vt:i4>
      </vt:variant>
      <vt:variant>
        <vt:i4>5</vt:i4>
      </vt:variant>
      <vt:variant>
        <vt:lpwstr>https://hudapps.hud.gov/OpportunityPortal/</vt:lpwstr>
      </vt:variant>
      <vt:variant>
        <vt:lpwstr/>
      </vt:variant>
      <vt:variant>
        <vt:i4>4194399</vt:i4>
      </vt:variant>
      <vt:variant>
        <vt:i4>27</vt:i4>
      </vt:variant>
      <vt:variant>
        <vt:i4>0</vt:i4>
      </vt:variant>
      <vt:variant>
        <vt:i4>5</vt:i4>
      </vt:variant>
      <vt:variant>
        <vt:lpwstr>https://www.gpo.gov/fdsys/pkg/USCODE-2016-title42/html/USCODE-2016-title42-chap126-subchapIII.htm</vt:lpwstr>
      </vt:variant>
      <vt:variant>
        <vt:lpwstr/>
      </vt:variant>
      <vt:variant>
        <vt:i4>2031620</vt:i4>
      </vt:variant>
      <vt:variant>
        <vt:i4>24</vt:i4>
      </vt:variant>
      <vt:variant>
        <vt:i4>0</vt:i4>
      </vt:variant>
      <vt:variant>
        <vt:i4>5</vt:i4>
      </vt:variant>
      <vt:variant>
        <vt:lpwstr>https://www.gpo.gov/fdsys/pkg/USCODE-2016-title42/html/USCODE-2016-title42-chap126-subchapII.htm</vt:lpwstr>
      </vt:variant>
      <vt:variant>
        <vt:lpwstr/>
      </vt:variant>
      <vt:variant>
        <vt:i4>3539070</vt:i4>
      </vt:variant>
      <vt:variant>
        <vt:i4>21</vt:i4>
      </vt:variant>
      <vt:variant>
        <vt:i4>0</vt:i4>
      </vt:variant>
      <vt:variant>
        <vt:i4>5</vt:i4>
      </vt:variant>
      <vt:variant>
        <vt:lpwstr>https://www.gpo.gov/fdsys/pkg/CFR-2017-title24-vol1/xml/CFR-2017-title24-vol1-part8.xml</vt:lpwstr>
      </vt:variant>
      <vt:variant>
        <vt:lpwstr/>
      </vt:variant>
      <vt:variant>
        <vt:i4>2424956</vt:i4>
      </vt:variant>
      <vt:variant>
        <vt:i4>18</vt:i4>
      </vt:variant>
      <vt:variant>
        <vt:i4>0</vt:i4>
      </vt:variant>
      <vt:variant>
        <vt:i4>5</vt:i4>
      </vt:variant>
      <vt:variant>
        <vt:lpwstr>https://www.gpo.gov/fdsys/pkg/USCODE-2016-title29/html/USCODE-2016-title29-chap16-subchapV-sec794d.htm</vt:lpwstr>
      </vt:variant>
      <vt:variant>
        <vt:lpwstr/>
      </vt:variant>
      <vt:variant>
        <vt:i4>5505102</vt:i4>
      </vt:variant>
      <vt:variant>
        <vt:i4>15</vt:i4>
      </vt:variant>
      <vt:variant>
        <vt:i4>0</vt:i4>
      </vt:variant>
      <vt:variant>
        <vt:i4>5</vt:i4>
      </vt:variant>
      <vt:variant>
        <vt:lpwstr>https://www.gpo.gov/fdsys/pkg/CFR-2017-title28-vol1/xml/CFR-2017-title28-vol1-part35.xml</vt:lpwstr>
      </vt:variant>
      <vt:variant>
        <vt:lpwstr/>
      </vt:variant>
      <vt:variant>
        <vt:i4>1048577</vt:i4>
      </vt:variant>
      <vt:variant>
        <vt:i4>12</vt:i4>
      </vt:variant>
      <vt:variant>
        <vt:i4>0</vt:i4>
      </vt:variant>
      <vt:variant>
        <vt:i4>5</vt:i4>
      </vt:variant>
      <vt:variant>
        <vt:lpwstr>https://www.gpo.gov/fdsys/pkg/USCODE-2016-title42/html/USCODE-2016-title42-chap76.htm</vt:lpwstr>
      </vt:variant>
      <vt:variant>
        <vt:lpwstr/>
      </vt:variant>
      <vt:variant>
        <vt:i4>3539063</vt:i4>
      </vt:variant>
      <vt:variant>
        <vt:i4>9</vt:i4>
      </vt:variant>
      <vt:variant>
        <vt:i4>0</vt:i4>
      </vt:variant>
      <vt:variant>
        <vt:i4>5</vt:i4>
      </vt:variant>
      <vt:variant>
        <vt:lpwstr>https://www.gpo.gov/fdsys/pkg/CFR-2017-title24-vol1/xml/CFR-2017-title24-vol1-part1.xml</vt:lpwstr>
      </vt:variant>
      <vt:variant>
        <vt:lpwstr/>
      </vt:variant>
      <vt:variant>
        <vt:i4>262160</vt:i4>
      </vt:variant>
      <vt:variant>
        <vt:i4>6</vt:i4>
      </vt:variant>
      <vt:variant>
        <vt:i4>0</vt:i4>
      </vt:variant>
      <vt:variant>
        <vt:i4>5</vt:i4>
      </vt:variant>
      <vt:variant>
        <vt:lpwstr>https://www.gpo.gov/fdsys/pkg/USCODE-2016-title42/html/USCODE-2016-title42-chap21-subchapV-sec2000d-1.htm</vt:lpwstr>
      </vt:variant>
      <vt:variant>
        <vt:lpwstr/>
      </vt:variant>
      <vt:variant>
        <vt:i4>8257573</vt:i4>
      </vt:variant>
      <vt:variant>
        <vt:i4>3</vt:i4>
      </vt:variant>
      <vt:variant>
        <vt:i4>0</vt:i4>
      </vt:variant>
      <vt:variant>
        <vt:i4>5</vt:i4>
      </vt:variant>
      <vt:variant>
        <vt:lpwstr>https://www.govinfo.gov/content/pkg/CFR-2012-title24-vol1/xml/CFR-2012-title24-vol1-part100.xml</vt:lpwstr>
      </vt:variant>
      <vt:variant>
        <vt:lpwstr/>
      </vt:variant>
      <vt:variant>
        <vt:i4>8323129</vt:i4>
      </vt:variant>
      <vt:variant>
        <vt:i4>0</vt:i4>
      </vt:variant>
      <vt:variant>
        <vt:i4>0</vt:i4>
      </vt:variant>
      <vt:variant>
        <vt:i4>5</vt:i4>
      </vt:variant>
      <vt:variant>
        <vt:lpwstr>https://www.gpo.gov/fdsys/pkg/USCODE-2016-title42/html/USCODE-2016-title42-chap45-subchapI.htm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2023-03-30T19:56:00Z</dcterms:created>
  <dcterms:modified xsi:type="dcterms:W3CDTF">2023-03-30T19:56:00Z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0x01010053B9917BF637764BB3ED43D31A95DA47</vt:lpwstr>
  </property>
</Properties>
</file>