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1D" w:rsidRDefault="0046531D">
      <w:pPr>
        <w:pStyle w:val="Level1"/>
        <w:numPr>
          <w:ilvl w:val="0"/>
          <w:numId w:val="0"/>
        </w:numPr>
        <w:tabs>
          <w:tab w:val="left" w:pos="2160"/>
        </w:tabs>
        <w:jc w:val="center"/>
        <w:rPr>
          <w:b/>
          <w:bCs/>
        </w:rPr>
      </w:pPr>
      <w:r>
        <w:rPr>
          <w:b/>
          <w:bCs/>
        </w:rPr>
        <w:t>CHAPTER 3</w:t>
      </w:r>
      <w:r w:rsidR="00216D9E">
        <w:rPr>
          <w:b/>
          <w:bCs/>
        </w:rPr>
        <w:t>2</w:t>
      </w:r>
    </w:p>
    <w:p w:rsidR="006B2666" w:rsidRDefault="006B2666">
      <w:pPr>
        <w:pStyle w:val="Level1"/>
        <w:numPr>
          <w:ilvl w:val="0"/>
          <w:numId w:val="0"/>
        </w:numPr>
        <w:tabs>
          <w:tab w:val="left" w:pos="2160"/>
        </w:tabs>
        <w:jc w:val="center"/>
        <w:rPr>
          <w:b/>
          <w:bCs/>
        </w:rPr>
      </w:pPr>
    </w:p>
    <w:p w:rsidR="0046531D" w:rsidRDefault="008C5F9B">
      <w:pPr>
        <w:pStyle w:val="Level1"/>
        <w:numPr>
          <w:ilvl w:val="0"/>
          <w:numId w:val="0"/>
        </w:numPr>
        <w:tabs>
          <w:tab w:val="left" w:pos="2160"/>
        </w:tabs>
        <w:jc w:val="center"/>
        <w:rPr>
          <w:b/>
          <w:bCs/>
        </w:rPr>
      </w:pPr>
      <w:r>
        <w:rPr>
          <w:b/>
          <w:bCs/>
        </w:rPr>
        <w:t xml:space="preserve">RURAL CAPACITY BUILDING </w:t>
      </w:r>
      <w:r w:rsidR="006B2666">
        <w:rPr>
          <w:b/>
          <w:bCs/>
        </w:rPr>
        <w:t xml:space="preserve">FOR COMMUNITY DEVELOPMENT AND AFFORDABLE HOUSING GRANTS </w:t>
      </w:r>
      <w:r>
        <w:rPr>
          <w:b/>
          <w:bCs/>
        </w:rPr>
        <w:t>(RCB)</w:t>
      </w:r>
    </w:p>
    <w:p w:rsidR="0046531D" w:rsidRDefault="0046531D"/>
    <w:p w:rsidR="00BA5272" w:rsidRDefault="0046531D" w:rsidP="0058787B">
      <w:pPr>
        <w:ind w:left="720" w:hanging="720"/>
      </w:pPr>
      <w:r>
        <w:t xml:space="preserve"> 3</w:t>
      </w:r>
      <w:r w:rsidR="00216D9E">
        <w:t>2</w:t>
      </w:r>
      <w:r>
        <w:t>-1</w:t>
      </w:r>
      <w:r>
        <w:tab/>
      </w:r>
      <w:r>
        <w:rPr>
          <w:u w:val="single"/>
        </w:rPr>
        <w:t>APPLICABILITY</w:t>
      </w:r>
      <w:r w:rsidR="00E13A51">
        <w:t>.  This Ch</w:t>
      </w:r>
      <w:r>
        <w:t>apter</w:t>
      </w:r>
      <w:r w:rsidR="00F30D66">
        <w:t xml:space="preserve"> provides comprehensive guidance for monitoring the </w:t>
      </w:r>
      <w:r w:rsidR="008C5F9B">
        <w:t xml:space="preserve">Rural </w:t>
      </w:r>
      <w:r w:rsidR="00F30D66">
        <w:t>Capacity Building for Community Development and Affordable Housing Grants (</w:t>
      </w:r>
      <w:r w:rsidR="008C5F9B">
        <w:t>RCB</w:t>
      </w:r>
      <w:r w:rsidR="00F30D66">
        <w:t xml:space="preserve">) Program. </w:t>
      </w:r>
      <w:r w:rsidR="00F31D46">
        <w:t xml:space="preserve"> </w:t>
      </w:r>
      <w:r w:rsidR="00F30D66">
        <w:t xml:space="preserve">The </w:t>
      </w:r>
      <w:r w:rsidR="008C5F9B">
        <w:t>RCB</w:t>
      </w:r>
      <w:r w:rsidR="00F30D66">
        <w:t xml:space="preserve"> Program was </w:t>
      </w:r>
      <w:r w:rsidR="00F30D66" w:rsidRPr="00E24892">
        <w:t xml:space="preserve">authorized by </w:t>
      </w:r>
      <w:r w:rsidR="00314EF2">
        <w:t xml:space="preserve">the </w:t>
      </w:r>
      <w:r w:rsidR="003F58A3">
        <w:t>Consolidated and Continuing Appropriations Act of 2012 (Public Law 112–55).</w:t>
      </w:r>
      <w:r w:rsidR="0058787B">
        <w:t xml:space="preserve"> </w:t>
      </w:r>
      <w:r w:rsidR="00005856">
        <w:t xml:space="preserve"> </w:t>
      </w:r>
      <w:r w:rsidR="0058787B">
        <w:t xml:space="preserve">The </w:t>
      </w:r>
      <w:r w:rsidR="003F58A3">
        <w:t>RCB</w:t>
      </w:r>
      <w:r w:rsidR="0058787B">
        <w:t xml:space="preserve"> program was </w:t>
      </w:r>
      <w:r w:rsidR="00F30D66">
        <w:t xml:space="preserve">designed to enhance the capacity and ability of community </w:t>
      </w:r>
      <w:r w:rsidR="003F58A3">
        <w:t>development corporations (CDCs)</w:t>
      </w:r>
      <w:r w:rsidR="00F213F2">
        <w:t>, community</w:t>
      </w:r>
      <w:r w:rsidR="00F30D66">
        <w:t xml:space="preserve"> housing development organizations (CHDOs)</w:t>
      </w:r>
      <w:r w:rsidR="00F213F2">
        <w:t xml:space="preserve">, Indian Tribes, Local Governments, and Rural Housing Development Organizations </w:t>
      </w:r>
      <w:r w:rsidR="00F30D66">
        <w:t>to carry out affordable housing and community development activities that benefit low- and moderate-income families</w:t>
      </w:r>
      <w:r w:rsidR="00F213F2">
        <w:t xml:space="preserve"> in rural communities</w:t>
      </w:r>
      <w:r w:rsidR="00F30D66">
        <w:t>.</w:t>
      </w:r>
      <w:r w:rsidR="0058787B">
        <w:t xml:space="preserve"> </w:t>
      </w:r>
      <w:r w:rsidR="00005856">
        <w:t xml:space="preserve"> </w:t>
      </w:r>
      <w:r w:rsidR="0058787B">
        <w:t>Funds are awarded competitively on an annual basis through a Notice of Funding Availability (NOFA) selection process conduct</w:t>
      </w:r>
      <w:r w:rsidR="00516257">
        <w:t>ed by HUD</w:t>
      </w:r>
      <w:r w:rsidR="00E13A51">
        <w:t>,</w:t>
      </w:r>
      <w:r w:rsidR="00516257">
        <w:t xml:space="preserve"> and grant awards have a </w:t>
      </w:r>
      <w:r w:rsidR="00553D75">
        <w:t>48-month</w:t>
      </w:r>
      <w:r w:rsidR="00516257">
        <w:t xml:space="preserve"> performance period.</w:t>
      </w:r>
    </w:p>
    <w:p w:rsidR="00BA5272" w:rsidRDefault="00BA5272" w:rsidP="0058787B">
      <w:pPr>
        <w:ind w:left="720" w:hanging="720"/>
      </w:pPr>
    </w:p>
    <w:p w:rsidR="0058787B" w:rsidRDefault="00BA5272" w:rsidP="0058787B">
      <w:pPr>
        <w:ind w:left="720" w:hanging="720"/>
      </w:pPr>
      <w:r>
        <w:tab/>
      </w:r>
      <w:r w:rsidR="00F213F2">
        <w:t>RCB</w:t>
      </w:r>
      <w:r w:rsidR="000C131D">
        <w:t xml:space="preserve"> funds are awarded</w:t>
      </w:r>
      <w:r>
        <w:t xml:space="preserve"> to </w:t>
      </w:r>
      <w:r w:rsidR="000C131D">
        <w:t>eligible</w:t>
      </w:r>
      <w:r>
        <w:t xml:space="preserve"> Na</w:t>
      </w:r>
      <w:r w:rsidR="000C131D">
        <w:t>t</w:t>
      </w:r>
      <w:r w:rsidR="00F213F2">
        <w:t>ional Non-Profit Organizations; eligibility</w:t>
      </w:r>
      <w:r w:rsidR="000C131D">
        <w:t xml:space="preserve"> </w:t>
      </w:r>
      <w:r w:rsidR="00F213F2">
        <w:t>information is provided</w:t>
      </w:r>
      <w:r w:rsidR="00122E5D">
        <w:t xml:space="preserve"> each year </w:t>
      </w:r>
      <w:r w:rsidR="000C131D">
        <w:t>in the program NOFA.</w:t>
      </w:r>
      <w:r w:rsidR="00E609E0">
        <w:t xml:space="preserve">  N</w:t>
      </w:r>
      <w:r w:rsidR="00B21710">
        <w:t>ote that</w:t>
      </w:r>
      <w:r w:rsidR="008A32E0">
        <w:t>, in this Chapter,</w:t>
      </w:r>
      <w:r w:rsidR="00B21710">
        <w:t xml:space="preserve"> </w:t>
      </w:r>
      <w:r w:rsidR="000840F9">
        <w:t xml:space="preserve">the following terms are used interchangeably when referring to </w:t>
      </w:r>
      <w:r w:rsidR="00B21710">
        <w:t>RCB grant awardees</w:t>
      </w:r>
      <w:r w:rsidR="008A32E0">
        <w:t xml:space="preserve">: </w:t>
      </w:r>
      <w:r w:rsidR="00A90B73">
        <w:t xml:space="preserve">grantees, </w:t>
      </w:r>
      <w:r w:rsidR="008A32E0">
        <w:t xml:space="preserve">program participant, </w:t>
      </w:r>
      <w:r w:rsidR="000840F9">
        <w:t>recipient, non-Federal entity.</w:t>
      </w:r>
      <w:r w:rsidR="00B21710">
        <w:t xml:space="preserve"> </w:t>
      </w:r>
    </w:p>
    <w:p w:rsidR="00266ECD" w:rsidRDefault="00266ECD" w:rsidP="00266ECD">
      <w:pPr>
        <w:tabs>
          <w:tab w:val="left" w:pos="1080"/>
        </w:tabs>
      </w:pPr>
    </w:p>
    <w:p w:rsidR="00266ECD" w:rsidRDefault="00F213F2" w:rsidP="00266ECD">
      <w:pPr>
        <w:tabs>
          <w:tab w:val="left" w:pos="1080"/>
        </w:tabs>
        <w:ind w:left="720"/>
      </w:pPr>
      <w:r>
        <w:t>RCB</w:t>
      </w:r>
      <w:r w:rsidR="000C131D">
        <w:t xml:space="preserve"> grant recipients receive</w:t>
      </w:r>
      <w:r w:rsidR="00266ECD">
        <w:t xml:space="preserve"> funds to implement projects within the following three eligible activity categories:</w:t>
      </w:r>
    </w:p>
    <w:p w:rsidR="00266ECD" w:rsidRDefault="00266ECD" w:rsidP="00266ECD">
      <w:pPr>
        <w:tabs>
          <w:tab w:val="left" w:pos="1080"/>
        </w:tabs>
        <w:ind w:left="720"/>
      </w:pPr>
    </w:p>
    <w:p w:rsidR="00382E2C" w:rsidRPr="00266ECD" w:rsidRDefault="00382E2C" w:rsidP="00382E2C">
      <w:pPr>
        <w:pStyle w:val="ListParagraph"/>
        <w:numPr>
          <w:ilvl w:val="0"/>
          <w:numId w:val="33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266ECD">
        <w:rPr>
          <w:rFonts w:ascii="Times New Roman" w:hAnsi="Times New Roman"/>
          <w:sz w:val="24"/>
          <w:szCs w:val="24"/>
        </w:rPr>
        <w:t xml:space="preserve">raining, </w:t>
      </w:r>
      <w:r>
        <w:rPr>
          <w:rFonts w:ascii="Times New Roman" w:hAnsi="Times New Roman"/>
          <w:sz w:val="24"/>
          <w:szCs w:val="24"/>
        </w:rPr>
        <w:t xml:space="preserve">education, </w:t>
      </w:r>
      <w:r w:rsidRPr="00266ECD">
        <w:rPr>
          <w:rFonts w:ascii="Times New Roman" w:hAnsi="Times New Roman"/>
          <w:sz w:val="24"/>
          <w:szCs w:val="24"/>
        </w:rPr>
        <w:t xml:space="preserve">support, and advice to </w:t>
      </w:r>
      <w:r>
        <w:rPr>
          <w:rFonts w:ascii="Times New Roman" w:hAnsi="Times New Roman"/>
          <w:sz w:val="24"/>
          <w:szCs w:val="24"/>
        </w:rPr>
        <w:t>enhance the technical and administrative capabilities of CDCs and CHDOs</w:t>
      </w:r>
      <w:r w:rsidR="00784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82E2C" w:rsidRPr="00266ECD" w:rsidRDefault="00382E2C" w:rsidP="00382E2C">
      <w:pPr>
        <w:pStyle w:val="ListParagraph"/>
        <w:numPr>
          <w:ilvl w:val="0"/>
          <w:numId w:val="33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266ECD">
        <w:rPr>
          <w:rFonts w:ascii="Times New Roman" w:hAnsi="Times New Roman"/>
          <w:sz w:val="24"/>
          <w:szCs w:val="24"/>
        </w:rPr>
        <w:t xml:space="preserve">Loans, grants, </w:t>
      </w:r>
      <w:r>
        <w:rPr>
          <w:rFonts w:ascii="Times New Roman" w:hAnsi="Times New Roman"/>
          <w:sz w:val="24"/>
          <w:szCs w:val="24"/>
        </w:rPr>
        <w:t xml:space="preserve">predevelopment assistance </w:t>
      </w:r>
      <w:r w:rsidRPr="00266ECD">
        <w:rPr>
          <w:rFonts w:ascii="Times New Roman" w:hAnsi="Times New Roman"/>
          <w:sz w:val="24"/>
          <w:szCs w:val="24"/>
        </w:rPr>
        <w:t xml:space="preserve">or other financial assistance to </w:t>
      </w:r>
      <w:r>
        <w:rPr>
          <w:rFonts w:ascii="Times New Roman" w:hAnsi="Times New Roman"/>
          <w:sz w:val="24"/>
          <w:szCs w:val="24"/>
        </w:rPr>
        <w:t>CDCs and CHDOs</w:t>
      </w:r>
      <w:r w:rsidRPr="00266ECD">
        <w:rPr>
          <w:rFonts w:ascii="Times New Roman" w:hAnsi="Times New Roman"/>
          <w:sz w:val="24"/>
          <w:szCs w:val="24"/>
        </w:rPr>
        <w:t xml:space="preserve"> to carry out community development and affordable housing activities </w:t>
      </w:r>
      <w:r>
        <w:rPr>
          <w:rFonts w:ascii="Times New Roman" w:hAnsi="Times New Roman"/>
          <w:sz w:val="24"/>
          <w:szCs w:val="24"/>
        </w:rPr>
        <w:t>that benefit low-income</w:t>
      </w:r>
      <w:r w:rsidRPr="00266ECD">
        <w:rPr>
          <w:rFonts w:ascii="Times New Roman" w:hAnsi="Times New Roman"/>
          <w:sz w:val="24"/>
          <w:szCs w:val="24"/>
        </w:rPr>
        <w:t xml:space="preserve"> families</w:t>
      </w:r>
      <w:r w:rsidR="00784DD9">
        <w:rPr>
          <w:rFonts w:ascii="Times New Roman" w:hAnsi="Times New Roman"/>
          <w:sz w:val="24"/>
          <w:szCs w:val="24"/>
        </w:rPr>
        <w:t>.</w:t>
      </w:r>
      <w:r w:rsidRPr="00266ECD">
        <w:rPr>
          <w:rFonts w:ascii="Times New Roman" w:hAnsi="Times New Roman"/>
          <w:sz w:val="24"/>
          <w:szCs w:val="24"/>
        </w:rPr>
        <w:t xml:space="preserve"> </w:t>
      </w:r>
    </w:p>
    <w:p w:rsidR="00382E2C" w:rsidRPr="00266ECD" w:rsidRDefault="00382E2C" w:rsidP="00382E2C">
      <w:pPr>
        <w:pStyle w:val="ListParagraph"/>
        <w:numPr>
          <w:ilvl w:val="0"/>
          <w:numId w:val="33"/>
        </w:numPr>
        <w:spacing w:after="0" w:line="240" w:lineRule="auto"/>
        <w:ind w:left="1080"/>
        <w:contextualSpacing w:val="0"/>
        <w:rPr>
          <w:rFonts w:ascii="Times New Roman" w:hAnsi="Times New Roman"/>
          <w:sz w:val="24"/>
          <w:szCs w:val="24"/>
        </w:rPr>
      </w:pPr>
      <w:r w:rsidRPr="00266ECD">
        <w:rPr>
          <w:rFonts w:ascii="Times New Roman" w:hAnsi="Times New Roman"/>
          <w:sz w:val="24"/>
          <w:szCs w:val="24"/>
        </w:rPr>
        <w:t xml:space="preserve">Such other activities as may be determined by the grantees in consultation with the Secretary. </w:t>
      </w:r>
    </w:p>
    <w:p w:rsidR="00F30D66" w:rsidRDefault="00F30D66" w:rsidP="00CA3DAC">
      <w:pPr>
        <w:autoSpaceDE w:val="0"/>
        <w:autoSpaceDN w:val="0"/>
        <w:adjustRightInd w:val="0"/>
        <w:ind w:left="720" w:hanging="720"/>
      </w:pPr>
    </w:p>
    <w:p w:rsidR="002A05FB" w:rsidRDefault="00C17EE5" w:rsidP="00CA3DAC">
      <w:pPr>
        <w:autoSpaceDE w:val="0"/>
        <w:autoSpaceDN w:val="0"/>
        <w:adjustRightInd w:val="0"/>
        <w:ind w:left="720" w:hanging="720"/>
      </w:pPr>
      <w:r>
        <w:t>3</w:t>
      </w:r>
      <w:r w:rsidR="00216D9E">
        <w:t>2</w:t>
      </w:r>
      <w:r w:rsidR="002A05FB">
        <w:t>-2</w:t>
      </w:r>
      <w:r w:rsidR="002A05FB">
        <w:tab/>
      </w:r>
      <w:r w:rsidR="00BA5272">
        <w:rPr>
          <w:u w:val="single"/>
        </w:rPr>
        <w:t>PREPARING FOR MONITORING</w:t>
      </w:r>
      <w:r w:rsidR="002A05FB">
        <w:t xml:space="preserve">.  </w:t>
      </w:r>
      <w:r w:rsidR="00D655BB">
        <w:t>The</w:t>
      </w:r>
      <w:r w:rsidR="00122E5D">
        <w:t xml:space="preserve"> HUD reviewers</w:t>
      </w:r>
      <w:r w:rsidR="002A05FB">
        <w:t xml:space="preserve"> will be required to </w:t>
      </w:r>
      <w:r w:rsidR="00122E5D">
        <w:t>check</w:t>
      </w:r>
      <w:r w:rsidR="00122E5D" w:rsidDel="00122E5D">
        <w:t xml:space="preserve"> </w:t>
      </w:r>
      <w:r w:rsidR="002A05FB">
        <w:t xml:space="preserve">the following program </w:t>
      </w:r>
      <w:r w:rsidR="00BA5272">
        <w:t>requirements</w:t>
      </w:r>
      <w:r w:rsidR="002A05FB">
        <w:t xml:space="preserve"> and </w:t>
      </w:r>
      <w:r w:rsidR="00BA5272">
        <w:t>files</w:t>
      </w:r>
      <w:r w:rsidR="002A05FB">
        <w:t xml:space="preserve"> prio</w:t>
      </w:r>
      <w:r w:rsidR="00BA5272">
        <w:t xml:space="preserve">r to </w:t>
      </w:r>
      <w:r w:rsidR="00122E5D">
        <w:t xml:space="preserve">conducting </w:t>
      </w:r>
      <w:r w:rsidR="00BA5272">
        <w:t xml:space="preserve">the monitoring. </w:t>
      </w:r>
      <w:r w:rsidR="00005856">
        <w:t xml:space="preserve"> </w:t>
      </w:r>
      <w:r w:rsidR="00BA5272">
        <w:t>This pre-monitoring preparatio</w:t>
      </w:r>
      <w:r w:rsidR="001E7448">
        <w:t xml:space="preserve">n helps to ensure that the time </w:t>
      </w:r>
      <w:r w:rsidR="00BA5272">
        <w:t xml:space="preserve">available for monitoring is used efficiently.  </w:t>
      </w:r>
    </w:p>
    <w:p w:rsidR="002A05FB" w:rsidRPr="00BF2E22" w:rsidRDefault="002A05FB" w:rsidP="00BF2E22">
      <w:pPr>
        <w:autoSpaceDE w:val="0"/>
        <w:autoSpaceDN w:val="0"/>
        <w:adjustRightInd w:val="0"/>
        <w:ind w:left="720" w:hanging="720"/>
      </w:pPr>
    </w:p>
    <w:p w:rsidR="00BA5272" w:rsidRPr="00BF2E22" w:rsidRDefault="00EE56DB" w:rsidP="00BF2E22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Grant agreements signed</w:t>
      </w:r>
      <w:r w:rsidR="0094307E" w:rsidRPr="00BF2E22">
        <w:rPr>
          <w:rFonts w:ascii="Times New Roman" w:hAnsi="Times New Roman"/>
          <w:sz w:val="24"/>
          <w:szCs w:val="24"/>
        </w:rPr>
        <w:t xml:space="preserve"> </w:t>
      </w:r>
      <w:r w:rsidR="00BA5272" w:rsidRPr="00BF2E22">
        <w:rPr>
          <w:rFonts w:ascii="Times New Roman" w:hAnsi="Times New Roman"/>
          <w:sz w:val="24"/>
          <w:szCs w:val="24"/>
        </w:rPr>
        <w:t>before December 19, 2014 (FY</w:t>
      </w:r>
      <w:r w:rsidR="00122E5D" w:rsidRPr="00BF2E22">
        <w:rPr>
          <w:rFonts w:ascii="Times New Roman" w:hAnsi="Times New Roman"/>
          <w:sz w:val="24"/>
          <w:szCs w:val="24"/>
        </w:rPr>
        <w:t xml:space="preserve"> </w:t>
      </w:r>
      <w:r w:rsidR="00BA5272" w:rsidRPr="00BF2E22">
        <w:rPr>
          <w:rFonts w:ascii="Times New Roman" w:hAnsi="Times New Roman"/>
          <w:sz w:val="24"/>
          <w:szCs w:val="24"/>
        </w:rPr>
        <w:t>2014 awards and pr</w:t>
      </w:r>
      <w:r w:rsidR="00697E46" w:rsidRPr="00BF2E22">
        <w:rPr>
          <w:rFonts w:ascii="Times New Roman" w:hAnsi="Times New Roman"/>
          <w:sz w:val="24"/>
          <w:szCs w:val="24"/>
        </w:rPr>
        <w:t xml:space="preserve">ior) are subject to 24 CFR </w:t>
      </w:r>
      <w:r w:rsidR="003D6D6F" w:rsidRPr="00BF2E22">
        <w:rPr>
          <w:rFonts w:ascii="Times New Roman" w:hAnsi="Times New Roman"/>
          <w:sz w:val="24"/>
          <w:szCs w:val="24"/>
        </w:rPr>
        <w:t>Part</w:t>
      </w:r>
      <w:r w:rsidR="00BA5272" w:rsidRPr="00BF2E22">
        <w:rPr>
          <w:rFonts w:ascii="Times New Roman" w:hAnsi="Times New Roman"/>
          <w:sz w:val="24"/>
          <w:szCs w:val="24"/>
        </w:rPr>
        <w:t xml:space="preserve"> 84: </w:t>
      </w:r>
      <w:r w:rsidR="00BA5272" w:rsidRPr="00BF2E22">
        <w:rPr>
          <w:rFonts w:ascii="Times New Roman" w:hAnsi="Times New Roman"/>
          <w:i/>
          <w:sz w:val="24"/>
          <w:szCs w:val="24"/>
        </w:rPr>
        <w:t>Uniform Administrative Requirements for Grants and Agreements with Institutions of Higher Education, Hospitals, and Other Nonprofit Organizations</w:t>
      </w:r>
      <w:r w:rsidR="00BA5272" w:rsidRPr="00BF2E22">
        <w:rPr>
          <w:rFonts w:ascii="Times New Roman" w:hAnsi="Times New Roman"/>
          <w:sz w:val="24"/>
          <w:szCs w:val="24"/>
        </w:rPr>
        <w:t xml:space="preserve">, in addition to the following </w:t>
      </w:r>
      <w:r w:rsidR="009836E0">
        <w:rPr>
          <w:rFonts w:ascii="Times New Roman" w:hAnsi="Times New Roman"/>
          <w:sz w:val="24"/>
          <w:szCs w:val="24"/>
        </w:rPr>
        <w:t>three</w:t>
      </w:r>
      <w:r w:rsidR="00AE3183" w:rsidRPr="00BF2E22">
        <w:rPr>
          <w:rFonts w:ascii="Times New Roman" w:hAnsi="Times New Roman"/>
          <w:sz w:val="24"/>
          <w:szCs w:val="24"/>
        </w:rPr>
        <w:t xml:space="preserve"> </w:t>
      </w:r>
      <w:r w:rsidR="00122E5D" w:rsidRPr="00BF2E22">
        <w:rPr>
          <w:rFonts w:ascii="Times New Roman" w:hAnsi="Times New Roman"/>
          <w:sz w:val="24"/>
          <w:szCs w:val="24"/>
        </w:rPr>
        <w:t>Office of Management and Budget (</w:t>
      </w:r>
      <w:r w:rsidR="00BA5272" w:rsidRPr="00BF2E22">
        <w:rPr>
          <w:rFonts w:ascii="Times New Roman" w:hAnsi="Times New Roman"/>
          <w:sz w:val="24"/>
          <w:szCs w:val="24"/>
        </w:rPr>
        <w:t>OMB</w:t>
      </w:r>
      <w:r w:rsidR="00122E5D" w:rsidRPr="00BF2E22">
        <w:rPr>
          <w:rFonts w:ascii="Times New Roman" w:hAnsi="Times New Roman"/>
          <w:sz w:val="24"/>
          <w:szCs w:val="24"/>
        </w:rPr>
        <w:t>)</w:t>
      </w:r>
      <w:r w:rsidR="00BA5272" w:rsidRPr="00BF2E22">
        <w:rPr>
          <w:rFonts w:ascii="Times New Roman" w:hAnsi="Times New Roman"/>
          <w:sz w:val="24"/>
          <w:szCs w:val="24"/>
        </w:rPr>
        <w:t xml:space="preserve"> Circulars:</w:t>
      </w:r>
    </w:p>
    <w:p w:rsidR="00BA5272" w:rsidRDefault="00BA5272" w:rsidP="00CA3DAC">
      <w:pPr>
        <w:autoSpaceDE w:val="0"/>
        <w:autoSpaceDN w:val="0"/>
        <w:adjustRightInd w:val="0"/>
        <w:ind w:left="720" w:hanging="720"/>
      </w:pPr>
    </w:p>
    <w:p w:rsidR="00BA5272" w:rsidRDefault="00BA5272" w:rsidP="00BA5272">
      <w:pPr>
        <w:numPr>
          <w:ilvl w:val="0"/>
          <w:numId w:val="27"/>
        </w:numPr>
        <w:autoSpaceDE w:val="0"/>
        <w:autoSpaceDN w:val="0"/>
        <w:adjustRightInd w:val="0"/>
        <w:ind w:left="1080"/>
      </w:pPr>
      <w:r>
        <w:t xml:space="preserve">A-110, </w:t>
      </w:r>
      <w:r w:rsidRPr="00405275">
        <w:rPr>
          <w:i/>
          <w:iCs/>
        </w:rPr>
        <w:t>Uniform Administrative Requirements for Grants and Other Agreements with Institutions of Higher Education, Hospitals and Other Non-Profit Organizations</w:t>
      </w:r>
      <w:r>
        <w:t>,</w:t>
      </w:r>
    </w:p>
    <w:p w:rsidR="00BA5272" w:rsidRDefault="00BA5272" w:rsidP="00BA5272">
      <w:pPr>
        <w:numPr>
          <w:ilvl w:val="0"/>
          <w:numId w:val="27"/>
        </w:numPr>
        <w:autoSpaceDE w:val="0"/>
        <w:autoSpaceDN w:val="0"/>
        <w:adjustRightInd w:val="0"/>
        <w:ind w:left="1080"/>
      </w:pPr>
      <w:r>
        <w:lastRenderedPageBreak/>
        <w:t xml:space="preserve">A-122, </w:t>
      </w:r>
      <w:r w:rsidRPr="00405275">
        <w:rPr>
          <w:i/>
          <w:iCs/>
        </w:rPr>
        <w:t>Cost Principles for Non-Profit Organizations</w:t>
      </w:r>
      <w:r>
        <w:t>,</w:t>
      </w:r>
      <w:r w:rsidR="00B55184">
        <w:t xml:space="preserve"> and</w:t>
      </w:r>
    </w:p>
    <w:p w:rsidR="00BA5272" w:rsidRDefault="00BA5272" w:rsidP="00BA5272">
      <w:pPr>
        <w:numPr>
          <w:ilvl w:val="0"/>
          <w:numId w:val="27"/>
        </w:numPr>
        <w:autoSpaceDE w:val="0"/>
        <w:autoSpaceDN w:val="0"/>
        <w:adjustRightInd w:val="0"/>
        <w:ind w:left="1080"/>
      </w:pPr>
      <w:r>
        <w:t xml:space="preserve">A-133, </w:t>
      </w:r>
      <w:r w:rsidRPr="00405275">
        <w:rPr>
          <w:i/>
          <w:iCs/>
        </w:rPr>
        <w:t>Audits of States, Local Governments, and Non-Profit Organizations</w:t>
      </w:r>
      <w:r w:rsidR="00B55184">
        <w:t>.</w:t>
      </w:r>
    </w:p>
    <w:p w:rsidR="00BA5272" w:rsidRDefault="00BA5272" w:rsidP="00CA3DAC">
      <w:pPr>
        <w:autoSpaceDE w:val="0"/>
        <w:autoSpaceDN w:val="0"/>
        <w:adjustRightInd w:val="0"/>
        <w:ind w:left="720" w:hanging="720"/>
      </w:pPr>
    </w:p>
    <w:p w:rsidR="00CA3DAC" w:rsidRDefault="0094307E" w:rsidP="00CA3DAC">
      <w:pPr>
        <w:autoSpaceDE w:val="0"/>
        <w:autoSpaceDN w:val="0"/>
        <w:adjustRightInd w:val="0"/>
        <w:ind w:left="720" w:hanging="720"/>
      </w:pPr>
      <w:r>
        <w:tab/>
      </w:r>
      <w:r w:rsidR="00F10D54">
        <w:t>Grant agreements signed</w:t>
      </w:r>
      <w:r w:rsidR="00F10D54" w:rsidRPr="00BF2E22">
        <w:t xml:space="preserve"> </w:t>
      </w:r>
      <w:r>
        <w:t>after December 19, 2014</w:t>
      </w:r>
      <w:r w:rsidR="008558E3">
        <w:t>,</w:t>
      </w:r>
      <w:r>
        <w:t xml:space="preserve"> (FY</w:t>
      </w:r>
      <w:r w:rsidR="00122E5D">
        <w:t xml:space="preserve"> </w:t>
      </w:r>
      <w:r>
        <w:t xml:space="preserve">2015 </w:t>
      </w:r>
      <w:r w:rsidR="00A07FB2">
        <w:t>moving forward</w:t>
      </w:r>
      <w:r>
        <w:t xml:space="preserve">) </w:t>
      </w:r>
      <w:r w:rsidR="00A07FB2">
        <w:t xml:space="preserve">are subject </w:t>
      </w:r>
      <w:r>
        <w:t xml:space="preserve">to </w:t>
      </w:r>
      <w:r w:rsidR="00A07FB2">
        <w:t xml:space="preserve">the </w:t>
      </w:r>
      <w:r w:rsidR="00405275">
        <w:t xml:space="preserve">uniform administrative requirements, cost principles, and audit requirements </w:t>
      </w:r>
      <w:r w:rsidR="008558E3">
        <w:t>at</w:t>
      </w:r>
      <w:r w:rsidR="00405275">
        <w:t xml:space="preserve"> 2 CFR </w:t>
      </w:r>
      <w:r w:rsidR="003D6D6F">
        <w:t>Part</w:t>
      </w:r>
      <w:r w:rsidR="00405275">
        <w:t xml:space="preserve"> 200.  </w:t>
      </w:r>
      <w:r w:rsidR="00CA3DAC">
        <w:t xml:space="preserve">The </w:t>
      </w:r>
      <w:r w:rsidR="00994505">
        <w:t>U</w:t>
      </w:r>
      <w:r w:rsidR="00CA3DAC">
        <w:t xml:space="preserve">niform </w:t>
      </w:r>
      <w:r w:rsidR="00994505">
        <w:t>Requirements</w:t>
      </w:r>
      <w:r w:rsidR="00CA3DAC">
        <w:t xml:space="preserve"> supersede, consolidate, and streamline requirements from </w:t>
      </w:r>
      <w:r w:rsidR="00A07FB2">
        <w:t xml:space="preserve">the </w:t>
      </w:r>
      <w:r w:rsidR="00F10D54">
        <w:t>24 CFR Part 84 and three</w:t>
      </w:r>
      <w:r w:rsidR="00122E5D">
        <w:t xml:space="preserve"> </w:t>
      </w:r>
      <w:r w:rsidR="00A07FB2">
        <w:t>OMB Circulars listed above.</w:t>
      </w:r>
    </w:p>
    <w:p w:rsidR="00A07FB2" w:rsidRDefault="00A07FB2" w:rsidP="00CA3DAC">
      <w:pPr>
        <w:autoSpaceDE w:val="0"/>
        <w:autoSpaceDN w:val="0"/>
        <w:adjustRightInd w:val="0"/>
        <w:ind w:left="720" w:hanging="720"/>
      </w:pPr>
    </w:p>
    <w:p w:rsidR="00A07FB2" w:rsidRDefault="00A07FB2" w:rsidP="00CA3DAC">
      <w:pPr>
        <w:autoSpaceDE w:val="0"/>
        <w:autoSpaceDN w:val="0"/>
        <w:adjustRightInd w:val="0"/>
        <w:ind w:left="720" w:hanging="720"/>
      </w:pPr>
      <w:r>
        <w:tab/>
        <w:t xml:space="preserve">In addition to the change in governing regulations, the </w:t>
      </w:r>
      <w:r w:rsidR="00F213F2">
        <w:t>RCB</w:t>
      </w:r>
      <w:r>
        <w:t xml:space="preserve"> </w:t>
      </w:r>
      <w:r w:rsidR="00697E46">
        <w:t>grants management process has</w:t>
      </w:r>
      <w:r w:rsidR="004E34A1">
        <w:t xml:space="preserve"> </w:t>
      </w:r>
      <w:r>
        <w:t xml:space="preserve">also </w:t>
      </w:r>
      <w:r w:rsidR="00697E46">
        <w:t>changed.</w:t>
      </w:r>
      <w:r>
        <w:t xml:space="preserve"> </w:t>
      </w:r>
      <w:r w:rsidR="008558E3">
        <w:t xml:space="preserve"> </w:t>
      </w:r>
      <w:r>
        <w:t>Fo</w:t>
      </w:r>
      <w:r w:rsidR="00697E46">
        <w:t>r awards made in FY</w:t>
      </w:r>
      <w:r w:rsidR="00122E5D">
        <w:t xml:space="preserve"> </w:t>
      </w:r>
      <w:r w:rsidR="00697E46">
        <w:t xml:space="preserve">2014 and prior, </w:t>
      </w:r>
      <w:r w:rsidR="00F213F2">
        <w:t>RCB</w:t>
      </w:r>
      <w:r w:rsidR="00697E46">
        <w:t xml:space="preserve"> recipient files are received as paper submissions</w:t>
      </w:r>
      <w:r>
        <w:t xml:space="preserve"> and Federal fund drawdowns are conducted through eLOCCS</w:t>
      </w:r>
      <w:r w:rsidR="00122E5D">
        <w:t xml:space="preserve"> (Line of Credit Control System)</w:t>
      </w:r>
      <w:r>
        <w:t xml:space="preserve">. </w:t>
      </w:r>
      <w:r w:rsidR="00E7748C">
        <w:t xml:space="preserve"> </w:t>
      </w:r>
      <w:r>
        <w:t xml:space="preserve">For </w:t>
      </w:r>
      <w:r w:rsidR="00697E46">
        <w:t xml:space="preserve">awards made in </w:t>
      </w:r>
      <w:r>
        <w:t>FY</w:t>
      </w:r>
      <w:r w:rsidR="00122E5D">
        <w:t xml:space="preserve"> </w:t>
      </w:r>
      <w:r>
        <w:t xml:space="preserve">2015 </w:t>
      </w:r>
      <w:r w:rsidR="00697E46">
        <w:t>and moving</w:t>
      </w:r>
      <w:r>
        <w:t xml:space="preserve"> forward, </w:t>
      </w:r>
      <w:r w:rsidR="00F213F2">
        <w:t>RCB</w:t>
      </w:r>
      <w:r>
        <w:t xml:space="preserve"> </w:t>
      </w:r>
      <w:r w:rsidR="00697E46">
        <w:t>recipient</w:t>
      </w:r>
      <w:r>
        <w:t xml:space="preserve"> grant </w:t>
      </w:r>
      <w:r w:rsidR="00697E46">
        <w:t>files</w:t>
      </w:r>
      <w:r>
        <w:t xml:space="preserve"> will be </w:t>
      </w:r>
      <w:r w:rsidR="00697E46">
        <w:t>rec</w:t>
      </w:r>
      <w:r w:rsidR="00122E5D">
        <w:t>e</w:t>
      </w:r>
      <w:r w:rsidR="00697E46">
        <w:t>ived</w:t>
      </w:r>
      <w:r>
        <w:t xml:space="preserve"> and funds drawn in the </w:t>
      </w:r>
      <w:r w:rsidR="00122E5D">
        <w:t>Disaster Recovery Grant Reporting (</w:t>
      </w:r>
      <w:r>
        <w:t>DRGR</w:t>
      </w:r>
      <w:r w:rsidR="00122E5D">
        <w:t>)</w:t>
      </w:r>
      <w:r>
        <w:t xml:space="preserve"> system.</w:t>
      </w:r>
    </w:p>
    <w:p w:rsidR="004E34A1" w:rsidRDefault="004E34A1" w:rsidP="00CA3DAC">
      <w:pPr>
        <w:autoSpaceDE w:val="0"/>
        <w:autoSpaceDN w:val="0"/>
        <w:adjustRightInd w:val="0"/>
        <w:ind w:left="720" w:hanging="720"/>
      </w:pPr>
    </w:p>
    <w:p w:rsidR="004E34A1" w:rsidRDefault="004E34A1" w:rsidP="00CA3DAC">
      <w:pPr>
        <w:autoSpaceDE w:val="0"/>
        <w:autoSpaceDN w:val="0"/>
        <w:adjustRightInd w:val="0"/>
        <w:ind w:left="720" w:hanging="720"/>
      </w:pPr>
      <w:r>
        <w:tab/>
        <w:t xml:space="preserve">Prior to the monitoring, </w:t>
      </w:r>
      <w:r w:rsidR="00122E5D">
        <w:t>the HUD</w:t>
      </w:r>
      <w:r>
        <w:t xml:space="preserve"> reviewer should access </w:t>
      </w:r>
      <w:r w:rsidR="00516257">
        <w:t xml:space="preserve">the following </w:t>
      </w:r>
      <w:r w:rsidR="00F213F2">
        <w:t>RCB</w:t>
      </w:r>
      <w:r>
        <w:t xml:space="preserve"> program files</w:t>
      </w:r>
      <w:r w:rsidR="00516257">
        <w:t>:</w:t>
      </w:r>
    </w:p>
    <w:p w:rsidR="00516257" w:rsidRDefault="00516257" w:rsidP="00CA3DAC">
      <w:pPr>
        <w:autoSpaceDE w:val="0"/>
        <w:autoSpaceDN w:val="0"/>
        <w:adjustRightInd w:val="0"/>
        <w:ind w:left="720" w:hanging="720"/>
      </w:pPr>
    </w:p>
    <w:p w:rsidR="00516257" w:rsidRDefault="00516257" w:rsidP="00516257">
      <w:pPr>
        <w:numPr>
          <w:ilvl w:val="0"/>
          <w:numId w:val="30"/>
        </w:numPr>
        <w:autoSpaceDE w:val="0"/>
        <w:autoSpaceDN w:val="0"/>
        <w:adjustRightInd w:val="0"/>
        <w:ind w:left="1080"/>
      </w:pPr>
      <w:r>
        <w:t>Executed Grant Agreement(s),</w:t>
      </w:r>
    </w:p>
    <w:p w:rsidR="00516257" w:rsidRDefault="00516257" w:rsidP="00516257">
      <w:pPr>
        <w:numPr>
          <w:ilvl w:val="0"/>
          <w:numId w:val="30"/>
        </w:numPr>
        <w:autoSpaceDE w:val="0"/>
        <w:autoSpaceDN w:val="0"/>
        <w:adjustRightInd w:val="0"/>
        <w:ind w:left="1080"/>
      </w:pPr>
      <w:r>
        <w:t>Work Plans or DRGR Action Plan,</w:t>
      </w:r>
    </w:p>
    <w:p w:rsidR="00516257" w:rsidRDefault="00516257" w:rsidP="00516257">
      <w:pPr>
        <w:numPr>
          <w:ilvl w:val="0"/>
          <w:numId w:val="30"/>
        </w:numPr>
        <w:autoSpaceDE w:val="0"/>
        <w:autoSpaceDN w:val="0"/>
        <w:adjustRightInd w:val="0"/>
        <w:ind w:left="1080"/>
      </w:pPr>
      <w:r>
        <w:t>NOFA(s) for applicable grant years,</w:t>
      </w:r>
    </w:p>
    <w:p w:rsidR="00516257" w:rsidRDefault="00516257" w:rsidP="00516257">
      <w:pPr>
        <w:numPr>
          <w:ilvl w:val="0"/>
          <w:numId w:val="30"/>
        </w:numPr>
        <w:autoSpaceDE w:val="0"/>
        <w:autoSpaceDN w:val="0"/>
        <w:adjustRightInd w:val="0"/>
        <w:ind w:left="1080"/>
      </w:pPr>
      <w:r>
        <w:t>Semi-Annual and Annual Report Submissions,</w:t>
      </w:r>
    </w:p>
    <w:p w:rsidR="00516257" w:rsidRDefault="00122E5D" w:rsidP="00516257">
      <w:pPr>
        <w:numPr>
          <w:ilvl w:val="0"/>
          <w:numId w:val="30"/>
        </w:numPr>
        <w:autoSpaceDE w:val="0"/>
        <w:autoSpaceDN w:val="0"/>
        <w:adjustRightInd w:val="0"/>
        <w:ind w:left="1080"/>
      </w:pPr>
      <w:r>
        <w:t>e</w:t>
      </w:r>
      <w:r w:rsidR="00516257">
        <w:t>LOCCS and DRGR Drawdown Records, and</w:t>
      </w:r>
    </w:p>
    <w:p w:rsidR="00516257" w:rsidRDefault="00516257" w:rsidP="00516257">
      <w:pPr>
        <w:numPr>
          <w:ilvl w:val="0"/>
          <w:numId w:val="30"/>
        </w:numPr>
        <w:autoSpaceDE w:val="0"/>
        <w:autoSpaceDN w:val="0"/>
        <w:adjustRightInd w:val="0"/>
        <w:ind w:left="1080"/>
      </w:pPr>
      <w:r>
        <w:t xml:space="preserve">Applicable </w:t>
      </w:r>
      <w:r w:rsidR="00F213F2">
        <w:t>RCB</w:t>
      </w:r>
      <w:r>
        <w:t xml:space="preserve"> Program Guidance and Notices.</w:t>
      </w:r>
    </w:p>
    <w:p w:rsidR="00516257" w:rsidRDefault="00516257" w:rsidP="00516257">
      <w:pPr>
        <w:autoSpaceDE w:val="0"/>
        <w:autoSpaceDN w:val="0"/>
        <w:adjustRightInd w:val="0"/>
      </w:pPr>
    </w:p>
    <w:p w:rsidR="00CB7E58" w:rsidRDefault="00C17EE5" w:rsidP="003A47BD">
      <w:pPr>
        <w:autoSpaceDE w:val="0"/>
        <w:autoSpaceDN w:val="0"/>
        <w:adjustRightInd w:val="0"/>
        <w:ind w:left="720" w:hanging="720"/>
        <w:rPr>
          <w:color w:val="000000"/>
        </w:rPr>
      </w:pPr>
      <w:r>
        <w:t>3</w:t>
      </w:r>
      <w:r w:rsidR="00216D9E">
        <w:t>2</w:t>
      </w:r>
      <w:r w:rsidR="00516257">
        <w:t>-3</w:t>
      </w:r>
      <w:r w:rsidR="00516257">
        <w:tab/>
      </w:r>
      <w:r w:rsidR="00180C97">
        <w:rPr>
          <w:u w:val="single"/>
        </w:rPr>
        <w:t>MONITORING APPROACH</w:t>
      </w:r>
      <w:r w:rsidR="006D10C4">
        <w:rPr>
          <w:u w:val="single"/>
        </w:rPr>
        <w:t>,</w:t>
      </w:r>
      <w:r w:rsidR="00180C97">
        <w:rPr>
          <w:u w:val="single"/>
        </w:rPr>
        <w:t xml:space="preserve"> RISK ANALYSIS</w:t>
      </w:r>
      <w:r w:rsidR="006D10C4">
        <w:rPr>
          <w:u w:val="single"/>
        </w:rPr>
        <w:t>, AND SAMPLING</w:t>
      </w:r>
      <w:r w:rsidR="00516257">
        <w:rPr>
          <w:u w:val="single"/>
        </w:rPr>
        <w:t>.</w:t>
      </w:r>
      <w:r w:rsidR="00516257">
        <w:t xml:space="preserve">  </w:t>
      </w:r>
      <w:r w:rsidR="00CB7E58">
        <w:rPr>
          <w:color w:val="000000"/>
        </w:rPr>
        <w:t>Reviewers are directed to follow the instructions</w:t>
      </w:r>
      <w:r w:rsidR="00237934">
        <w:rPr>
          <w:color w:val="000000"/>
        </w:rPr>
        <w:t xml:space="preserve"> </w:t>
      </w:r>
      <w:r w:rsidR="006D10C4">
        <w:rPr>
          <w:color w:val="000000"/>
        </w:rPr>
        <w:t>in</w:t>
      </w:r>
      <w:r w:rsidR="00CB7E58">
        <w:rPr>
          <w:color w:val="000000"/>
        </w:rPr>
        <w:t xml:space="preserve"> Chapter 2 for monitoring preparation, implementation, and follow-up, with the exception of the risk analysis section. </w:t>
      </w:r>
    </w:p>
    <w:p w:rsidR="00CB7E58" w:rsidRDefault="00CB7E58" w:rsidP="003A47BD">
      <w:pPr>
        <w:autoSpaceDE w:val="0"/>
        <w:autoSpaceDN w:val="0"/>
        <w:adjustRightInd w:val="0"/>
        <w:ind w:left="720" w:hanging="720"/>
        <w:rPr>
          <w:color w:val="000000"/>
        </w:rPr>
      </w:pPr>
    </w:p>
    <w:p w:rsidR="00516257" w:rsidRDefault="00CB7E58" w:rsidP="003A47BD">
      <w:pPr>
        <w:autoSpaceDE w:val="0"/>
        <w:autoSpaceDN w:val="0"/>
        <w:adjustRightInd w:val="0"/>
        <w:ind w:left="720" w:hanging="720"/>
        <w:rPr>
          <w:color w:val="000000"/>
        </w:rPr>
      </w:pPr>
      <w:r>
        <w:rPr>
          <w:color w:val="000000"/>
        </w:rPr>
        <w:tab/>
      </w:r>
      <w:r w:rsidR="003A47BD">
        <w:rPr>
          <w:color w:val="000000"/>
        </w:rPr>
        <w:t xml:space="preserve">Based on when </w:t>
      </w:r>
      <w:r w:rsidR="00322D8B">
        <w:rPr>
          <w:color w:val="000000"/>
        </w:rPr>
        <w:t>RCB</w:t>
      </w:r>
      <w:r w:rsidR="003A47BD">
        <w:rPr>
          <w:color w:val="000000"/>
        </w:rPr>
        <w:t xml:space="preserve"> </w:t>
      </w:r>
      <w:r>
        <w:rPr>
          <w:color w:val="000000"/>
        </w:rPr>
        <w:t xml:space="preserve">grants </w:t>
      </w:r>
      <w:r w:rsidR="003A47BD">
        <w:rPr>
          <w:color w:val="000000"/>
        </w:rPr>
        <w:t xml:space="preserve">awards </w:t>
      </w:r>
      <w:r>
        <w:rPr>
          <w:color w:val="000000"/>
        </w:rPr>
        <w:t>were</w:t>
      </w:r>
      <w:r w:rsidR="003A47BD">
        <w:rPr>
          <w:color w:val="000000"/>
        </w:rPr>
        <w:t xml:space="preserve"> made during the calendar year, a given program </w:t>
      </w:r>
      <w:r w:rsidR="00F85204">
        <w:rPr>
          <w:color w:val="000000"/>
        </w:rPr>
        <w:t>p</w:t>
      </w:r>
      <w:r w:rsidR="003D6D6F">
        <w:rPr>
          <w:color w:val="000000"/>
        </w:rPr>
        <w:t>art</w:t>
      </w:r>
      <w:r w:rsidR="00322D8B">
        <w:rPr>
          <w:color w:val="000000"/>
        </w:rPr>
        <w:t>icipant may have four</w:t>
      </w:r>
      <w:r w:rsidR="003A47BD">
        <w:rPr>
          <w:color w:val="000000"/>
        </w:rPr>
        <w:t xml:space="preserve"> or more awards from different fiscal years open</w:t>
      </w:r>
      <w:r>
        <w:rPr>
          <w:color w:val="000000"/>
        </w:rPr>
        <w:t xml:space="preserve"> at once</w:t>
      </w:r>
      <w:r w:rsidR="003A47BD">
        <w:rPr>
          <w:color w:val="000000"/>
        </w:rPr>
        <w:t xml:space="preserve">. </w:t>
      </w:r>
      <w:r w:rsidR="003548C0">
        <w:rPr>
          <w:color w:val="000000"/>
        </w:rPr>
        <w:t xml:space="preserve"> </w:t>
      </w:r>
      <w:r w:rsidR="00180C97">
        <w:rPr>
          <w:color w:val="000000"/>
        </w:rPr>
        <w:t>Reviewers will use</w:t>
      </w:r>
      <w:r w:rsidR="003A47BD">
        <w:rPr>
          <w:color w:val="000000"/>
        </w:rPr>
        <w:t xml:space="preserve"> the following steps during the pre-monitoring phase to </w:t>
      </w:r>
      <w:r w:rsidR="00600E1D">
        <w:rPr>
          <w:color w:val="000000"/>
        </w:rPr>
        <w:t xml:space="preserve">assess risk and </w:t>
      </w:r>
      <w:r w:rsidR="003A47BD">
        <w:rPr>
          <w:color w:val="000000"/>
        </w:rPr>
        <w:t xml:space="preserve">identify the </w:t>
      </w:r>
      <w:r w:rsidR="00322D8B">
        <w:rPr>
          <w:color w:val="000000"/>
        </w:rPr>
        <w:t>RCB</w:t>
      </w:r>
      <w:r w:rsidR="00841685">
        <w:rPr>
          <w:color w:val="000000"/>
        </w:rPr>
        <w:t xml:space="preserve"> </w:t>
      </w:r>
      <w:r w:rsidR="00A0301C">
        <w:rPr>
          <w:color w:val="000000"/>
        </w:rPr>
        <w:t>recipients</w:t>
      </w:r>
      <w:r w:rsidR="00600E1D">
        <w:rPr>
          <w:color w:val="000000"/>
        </w:rPr>
        <w:t xml:space="preserve"> and </w:t>
      </w:r>
      <w:r w:rsidR="003A47BD">
        <w:rPr>
          <w:color w:val="000000"/>
        </w:rPr>
        <w:t xml:space="preserve">documents that will be </w:t>
      </w:r>
      <w:r w:rsidR="00600E1D">
        <w:rPr>
          <w:color w:val="000000"/>
        </w:rPr>
        <w:t xml:space="preserve">selected for </w:t>
      </w:r>
      <w:r>
        <w:rPr>
          <w:color w:val="000000"/>
        </w:rPr>
        <w:t>monitoring</w:t>
      </w:r>
      <w:r w:rsidR="003A47BD">
        <w:rPr>
          <w:color w:val="000000"/>
        </w:rPr>
        <w:t>.</w:t>
      </w:r>
    </w:p>
    <w:p w:rsidR="003A47BD" w:rsidRDefault="003A47BD" w:rsidP="003A47BD">
      <w:pPr>
        <w:autoSpaceDE w:val="0"/>
        <w:autoSpaceDN w:val="0"/>
        <w:adjustRightInd w:val="0"/>
        <w:ind w:left="720" w:hanging="720"/>
        <w:rPr>
          <w:color w:val="000000"/>
        </w:rPr>
      </w:pPr>
    </w:p>
    <w:p w:rsidR="003A47BD" w:rsidRDefault="00266ECD" w:rsidP="003A47BD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color w:val="000000"/>
        </w:rPr>
      </w:pPr>
      <w:r>
        <w:rPr>
          <w:color w:val="000000"/>
        </w:rPr>
        <w:t xml:space="preserve">Identify the </w:t>
      </w:r>
      <w:r w:rsidR="00322D8B">
        <w:rPr>
          <w:color w:val="000000"/>
        </w:rPr>
        <w:t>RCB</w:t>
      </w:r>
      <w:r>
        <w:rPr>
          <w:color w:val="000000"/>
        </w:rPr>
        <w:t xml:space="preserve"> </w:t>
      </w:r>
      <w:r w:rsidR="00A0301C">
        <w:rPr>
          <w:color w:val="000000"/>
        </w:rPr>
        <w:t>recipients</w:t>
      </w:r>
      <w:r>
        <w:rPr>
          <w:color w:val="000000"/>
        </w:rPr>
        <w:t xml:space="preserve"> to be m</w:t>
      </w:r>
      <w:r w:rsidR="003A47BD">
        <w:rPr>
          <w:color w:val="000000"/>
        </w:rPr>
        <w:t>onitored</w:t>
      </w:r>
      <w:r>
        <w:rPr>
          <w:color w:val="000000"/>
        </w:rPr>
        <w:t>.</w:t>
      </w:r>
      <w:r w:rsidR="00F85204">
        <w:rPr>
          <w:color w:val="000000"/>
        </w:rPr>
        <w:t xml:space="preserve"> </w:t>
      </w:r>
      <w:r>
        <w:rPr>
          <w:color w:val="000000"/>
        </w:rPr>
        <w:t xml:space="preserve"> If all </w:t>
      </w:r>
      <w:r w:rsidR="00322D8B">
        <w:rPr>
          <w:color w:val="000000"/>
        </w:rPr>
        <w:t>RCB</w:t>
      </w:r>
      <w:r w:rsidR="00CB7E58">
        <w:rPr>
          <w:color w:val="000000"/>
        </w:rPr>
        <w:t xml:space="preserve"> </w:t>
      </w:r>
      <w:r>
        <w:rPr>
          <w:color w:val="000000"/>
        </w:rPr>
        <w:t xml:space="preserve">program </w:t>
      </w:r>
      <w:r w:rsidR="00A0301C">
        <w:rPr>
          <w:color w:val="000000"/>
        </w:rPr>
        <w:t>recipients</w:t>
      </w:r>
      <w:r>
        <w:rPr>
          <w:color w:val="000000"/>
        </w:rPr>
        <w:t xml:space="preserve"> will not be monitored, select </w:t>
      </w:r>
      <w:r w:rsidR="00A0301C">
        <w:rPr>
          <w:color w:val="000000"/>
        </w:rPr>
        <w:t>recipients</w:t>
      </w:r>
      <w:r>
        <w:rPr>
          <w:color w:val="000000"/>
        </w:rPr>
        <w:t xml:space="preserve"> using the following </w:t>
      </w:r>
      <w:r w:rsidR="00600E1D">
        <w:rPr>
          <w:color w:val="000000"/>
        </w:rPr>
        <w:t xml:space="preserve">risk </w:t>
      </w:r>
      <w:r>
        <w:rPr>
          <w:color w:val="000000"/>
        </w:rPr>
        <w:t>criteria:</w:t>
      </w:r>
    </w:p>
    <w:p w:rsidR="00266ECD" w:rsidRDefault="00266ECD" w:rsidP="00266ECD">
      <w:pPr>
        <w:autoSpaceDE w:val="0"/>
        <w:autoSpaceDN w:val="0"/>
        <w:adjustRightInd w:val="0"/>
        <w:ind w:left="1080"/>
        <w:rPr>
          <w:color w:val="000000"/>
        </w:rPr>
      </w:pPr>
    </w:p>
    <w:p w:rsidR="00266ECD" w:rsidRDefault="00266ECD" w:rsidP="00266ECD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Number of open </w:t>
      </w:r>
      <w:r w:rsidR="00322D8B">
        <w:rPr>
          <w:color w:val="000000"/>
        </w:rPr>
        <w:t>RCB</w:t>
      </w:r>
      <w:r>
        <w:rPr>
          <w:color w:val="000000"/>
        </w:rPr>
        <w:t xml:space="preserve"> awards,</w:t>
      </w:r>
    </w:p>
    <w:p w:rsidR="00266ECD" w:rsidRDefault="005D0DA8" w:rsidP="00266ECD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Number of sub</w:t>
      </w:r>
      <w:r w:rsidR="00266ECD">
        <w:rPr>
          <w:color w:val="000000"/>
        </w:rPr>
        <w:t xml:space="preserve">recipients receiving grants or loans from the </w:t>
      </w:r>
      <w:r w:rsidR="00322D8B">
        <w:rPr>
          <w:color w:val="000000"/>
        </w:rPr>
        <w:t>RCB</w:t>
      </w:r>
      <w:r w:rsidR="00266ECD">
        <w:rPr>
          <w:color w:val="000000"/>
        </w:rPr>
        <w:t xml:space="preserve"> awardee,</w:t>
      </w:r>
    </w:p>
    <w:p w:rsidR="00322D8B" w:rsidRDefault="00266ECD" w:rsidP="00266ECD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Years since last HUD monitoring, </w:t>
      </w:r>
    </w:p>
    <w:p w:rsidR="00266ECD" w:rsidRDefault="00322D8B" w:rsidP="00266ECD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Number of HUD Regions being served by the RCB recipient, </w:t>
      </w:r>
      <w:r w:rsidR="00266ECD">
        <w:rPr>
          <w:color w:val="000000"/>
        </w:rPr>
        <w:t>and</w:t>
      </w:r>
    </w:p>
    <w:p w:rsidR="00266ECD" w:rsidRPr="00266ECD" w:rsidRDefault="00266ECD" w:rsidP="00266ECD">
      <w:pPr>
        <w:numPr>
          <w:ilvl w:val="0"/>
          <w:numId w:val="3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Expenditure rate for open </w:t>
      </w:r>
      <w:r w:rsidR="00322D8B">
        <w:rPr>
          <w:color w:val="000000"/>
        </w:rPr>
        <w:t>RCB</w:t>
      </w:r>
      <w:r>
        <w:rPr>
          <w:color w:val="000000"/>
        </w:rPr>
        <w:t xml:space="preserve"> awards.</w:t>
      </w:r>
    </w:p>
    <w:p w:rsidR="00266ECD" w:rsidRDefault="00266ECD" w:rsidP="00266ECD">
      <w:pPr>
        <w:autoSpaceDE w:val="0"/>
        <w:autoSpaceDN w:val="0"/>
        <w:adjustRightInd w:val="0"/>
        <w:rPr>
          <w:color w:val="000000"/>
        </w:rPr>
      </w:pPr>
    </w:p>
    <w:p w:rsidR="003A47BD" w:rsidRDefault="003A47BD" w:rsidP="003A47BD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color w:val="000000"/>
        </w:rPr>
      </w:pPr>
      <w:r>
        <w:rPr>
          <w:color w:val="000000"/>
        </w:rPr>
        <w:t>Iden</w:t>
      </w:r>
      <w:r w:rsidR="00266ECD">
        <w:rPr>
          <w:color w:val="000000"/>
        </w:rPr>
        <w:t>tify the Specific Fiscal Years</w:t>
      </w:r>
      <w:r w:rsidR="00FC1BA4">
        <w:rPr>
          <w:color w:val="000000"/>
        </w:rPr>
        <w:t>’</w:t>
      </w:r>
      <w:r w:rsidR="00266ECD">
        <w:rPr>
          <w:color w:val="000000"/>
        </w:rPr>
        <w:t xml:space="preserve"> a</w:t>
      </w:r>
      <w:r>
        <w:rPr>
          <w:color w:val="000000"/>
        </w:rPr>
        <w:t xml:space="preserve">wards that will be </w:t>
      </w:r>
      <w:r w:rsidR="00266ECD">
        <w:rPr>
          <w:color w:val="000000"/>
        </w:rPr>
        <w:t>reviewed.</w:t>
      </w:r>
    </w:p>
    <w:p w:rsidR="003A47BD" w:rsidRDefault="00266ECD" w:rsidP="003A47BD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color w:val="000000"/>
        </w:rPr>
      </w:pPr>
      <w:r>
        <w:rPr>
          <w:color w:val="000000"/>
        </w:rPr>
        <w:t>Gather a list of HUD</w:t>
      </w:r>
      <w:r w:rsidR="006D10C4">
        <w:rPr>
          <w:color w:val="000000"/>
        </w:rPr>
        <w:t>-</w:t>
      </w:r>
      <w:r>
        <w:rPr>
          <w:color w:val="000000"/>
        </w:rPr>
        <w:t>approved work p</w:t>
      </w:r>
      <w:r w:rsidR="003A47BD">
        <w:rPr>
          <w:color w:val="000000"/>
        </w:rPr>
        <w:t xml:space="preserve">lans or DRGR activities for each Fiscal </w:t>
      </w:r>
      <w:r>
        <w:rPr>
          <w:color w:val="000000"/>
        </w:rPr>
        <w:t>Year a</w:t>
      </w:r>
      <w:r w:rsidR="003A47BD">
        <w:rPr>
          <w:color w:val="000000"/>
        </w:rPr>
        <w:t>ward</w:t>
      </w:r>
      <w:r>
        <w:rPr>
          <w:color w:val="000000"/>
        </w:rPr>
        <w:t>.</w:t>
      </w:r>
    </w:p>
    <w:p w:rsidR="00266ECD" w:rsidRDefault="00266ECD" w:rsidP="003A47BD">
      <w:pPr>
        <w:numPr>
          <w:ilvl w:val="0"/>
          <w:numId w:val="31"/>
        </w:numPr>
        <w:autoSpaceDE w:val="0"/>
        <w:autoSpaceDN w:val="0"/>
        <w:adjustRightInd w:val="0"/>
        <w:ind w:left="1080"/>
        <w:rPr>
          <w:color w:val="000000"/>
        </w:rPr>
      </w:pPr>
      <w:r>
        <w:rPr>
          <w:color w:val="000000"/>
        </w:rPr>
        <w:lastRenderedPageBreak/>
        <w:t>Select 2 or 3 work plans or DRGR Activities from each Fiscal Year award included in the monitoring (see step b). If all work plans or DRGR activities in a specific Fiscal Year award are not reviewed</w:t>
      </w:r>
      <w:r w:rsidR="00857E59">
        <w:rPr>
          <w:color w:val="000000"/>
        </w:rPr>
        <w:t xml:space="preserve">, use the following </w:t>
      </w:r>
      <w:r w:rsidR="00600E1D">
        <w:rPr>
          <w:color w:val="000000"/>
        </w:rPr>
        <w:t xml:space="preserve">risk </w:t>
      </w:r>
      <w:r w:rsidR="00857E59">
        <w:rPr>
          <w:color w:val="000000"/>
        </w:rPr>
        <w:t>criteria to prioritize the selection process</w:t>
      </w:r>
      <w:r w:rsidR="00CB7E58">
        <w:rPr>
          <w:color w:val="000000"/>
        </w:rPr>
        <w:t xml:space="preserve"> (for each criterion below</w:t>
      </w:r>
      <w:r w:rsidR="004312F8">
        <w:rPr>
          <w:color w:val="000000"/>
        </w:rPr>
        <w:t>,</w:t>
      </w:r>
      <w:r w:rsidR="00CB7E58">
        <w:rPr>
          <w:color w:val="000000"/>
        </w:rPr>
        <w:t xml:space="preserve"> a higher value response equals greater risk)</w:t>
      </w:r>
      <w:r w:rsidR="00857E59">
        <w:rPr>
          <w:color w:val="000000"/>
        </w:rPr>
        <w:t>:</w:t>
      </w:r>
    </w:p>
    <w:p w:rsidR="00857E59" w:rsidRDefault="00857E59" w:rsidP="00857E59">
      <w:pPr>
        <w:autoSpaceDE w:val="0"/>
        <w:autoSpaceDN w:val="0"/>
        <w:adjustRightInd w:val="0"/>
        <w:ind w:left="1080"/>
        <w:rPr>
          <w:color w:val="000000"/>
        </w:rPr>
      </w:pPr>
    </w:p>
    <w:p w:rsidR="00857E59" w:rsidRDefault="00857E59" w:rsidP="00857E59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Federal Funds budgeted to the work plan or DRGR activity,</w:t>
      </w:r>
    </w:p>
    <w:p w:rsidR="00857E59" w:rsidRDefault="00857E59" w:rsidP="00857E59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Number </w:t>
      </w:r>
      <w:r w:rsidR="005D0DA8">
        <w:rPr>
          <w:color w:val="000000"/>
        </w:rPr>
        <w:t>of sub</w:t>
      </w:r>
      <w:r>
        <w:rPr>
          <w:color w:val="000000"/>
        </w:rPr>
        <w:t>recipient grant awards or loans projected,</w:t>
      </w:r>
    </w:p>
    <w:p w:rsidR="00857E59" w:rsidRPr="00CB7E58" w:rsidRDefault="00857E59" w:rsidP="00CB7E58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Ratio of match or leverage funds </w:t>
      </w:r>
      <w:r w:rsidR="00600E1D">
        <w:rPr>
          <w:color w:val="000000"/>
        </w:rPr>
        <w:t>committe</w:t>
      </w:r>
      <w:r>
        <w:rPr>
          <w:color w:val="000000"/>
        </w:rPr>
        <w:t>d relative to the Federal Funds budgeted,</w:t>
      </w:r>
      <w:r w:rsidR="00CB7E58">
        <w:rPr>
          <w:color w:val="000000"/>
        </w:rPr>
        <w:t xml:space="preserve"> and</w:t>
      </w:r>
    </w:p>
    <w:p w:rsidR="00857E59" w:rsidRDefault="00CB7E58" w:rsidP="00857E59">
      <w:pPr>
        <w:numPr>
          <w:ilvl w:val="0"/>
          <w:numId w:val="34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Extent of service</w:t>
      </w:r>
      <w:r w:rsidR="00857E59">
        <w:rPr>
          <w:color w:val="000000"/>
        </w:rPr>
        <w:t xml:space="preserve"> area targeted.</w:t>
      </w:r>
    </w:p>
    <w:p w:rsidR="00516257" w:rsidRDefault="00516257" w:rsidP="00600E1D">
      <w:pPr>
        <w:autoSpaceDE w:val="0"/>
        <w:autoSpaceDN w:val="0"/>
        <w:adjustRightInd w:val="0"/>
        <w:ind w:firstLine="720"/>
        <w:rPr>
          <w:color w:val="000000"/>
        </w:rPr>
      </w:pPr>
    </w:p>
    <w:p w:rsidR="00180C97" w:rsidRDefault="00600E1D" w:rsidP="00600E1D">
      <w:pPr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 xml:space="preserve">The reviewer may consider </w:t>
      </w:r>
      <w:r w:rsidR="000B2C1B">
        <w:rPr>
          <w:color w:val="000000"/>
        </w:rPr>
        <w:t>adding additional documents to this</w:t>
      </w:r>
      <w:r>
        <w:rPr>
          <w:color w:val="000000"/>
        </w:rPr>
        <w:t xml:space="preserve"> selection, if the reviewer has reason to believe there is a specific concern or there is a need to gather additional information about the </w:t>
      </w:r>
      <w:r w:rsidR="00A0301C">
        <w:rPr>
          <w:color w:val="000000"/>
        </w:rPr>
        <w:t>recipient</w:t>
      </w:r>
      <w:r>
        <w:rPr>
          <w:color w:val="000000"/>
        </w:rPr>
        <w:t>’s program management policies and procedures.</w:t>
      </w:r>
    </w:p>
    <w:p w:rsidR="00600E1D" w:rsidRDefault="00600E1D" w:rsidP="00600E1D">
      <w:pPr>
        <w:autoSpaceDE w:val="0"/>
        <w:autoSpaceDN w:val="0"/>
        <w:adjustRightInd w:val="0"/>
        <w:ind w:left="720"/>
        <w:rPr>
          <w:color w:val="000000"/>
        </w:rPr>
      </w:pPr>
    </w:p>
    <w:p w:rsidR="003D6D6F" w:rsidRDefault="00C17EE5" w:rsidP="00600E1D">
      <w:pPr>
        <w:tabs>
          <w:tab w:val="left" w:pos="540"/>
        </w:tabs>
        <w:ind w:left="720" w:hanging="720"/>
      </w:pPr>
      <w:r>
        <w:t>3</w:t>
      </w:r>
      <w:r w:rsidR="00216D9E">
        <w:t>2</w:t>
      </w:r>
      <w:r w:rsidR="00600E1D">
        <w:t>-4</w:t>
      </w:r>
      <w:r w:rsidR="00600E1D">
        <w:tab/>
      </w:r>
      <w:r w:rsidR="00600E1D">
        <w:tab/>
      </w:r>
      <w:r w:rsidR="00600E1D">
        <w:rPr>
          <w:u w:val="single"/>
        </w:rPr>
        <w:t>STRUCTURE AND PURPOSE.</w:t>
      </w:r>
      <w:r w:rsidR="00600E1D">
        <w:t xml:space="preserve">  This Chapter contains </w:t>
      </w:r>
      <w:r w:rsidR="00CB7E58">
        <w:t xml:space="preserve">six </w:t>
      </w:r>
      <w:r w:rsidR="006D10C4">
        <w:t>E</w:t>
      </w:r>
      <w:r w:rsidR="00600E1D">
        <w:t>xhibits for monitoring compliance with the applicable Fiscal Year</w:t>
      </w:r>
      <w:r w:rsidR="00CB7E58">
        <w:t xml:space="preserve"> regulations and requirements</w:t>
      </w:r>
      <w:r w:rsidR="003D6D6F">
        <w:t>:</w:t>
      </w:r>
    </w:p>
    <w:p w:rsidR="003D6D6F" w:rsidRDefault="003D6D6F" w:rsidP="00600E1D">
      <w:pPr>
        <w:tabs>
          <w:tab w:val="left" w:pos="540"/>
        </w:tabs>
        <w:ind w:left="720" w:hanging="720"/>
      </w:pPr>
    </w:p>
    <w:p w:rsidR="00DE308F" w:rsidRDefault="00DE308F" w:rsidP="003D6D6F">
      <w:pPr>
        <w:numPr>
          <w:ilvl w:val="0"/>
          <w:numId w:val="35"/>
        </w:numPr>
        <w:tabs>
          <w:tab w:val="left" w:pos="540"/>
        </w:tabs>
        <w:ind w:left="1080"/>
      </w:pPr>
      <w:r>
        <w:t>Grant and Subrecipient Management,</w:t>
      </w:r>
    </w:p>
    <w:p w:rsidR="00DE308F" w:rsidRDefault="00DE308F" w:rsidP="003D6D6F">
      <w:pPr>
        <w:numPr>
          <w:ilvl w:val="0"/>
          <w:numId w:val="35"/>
        </w:numPr>
        <w:tabs>
          <w:tab w:val="left" w:pos="540"/>
        </w:tabs>
        <w:ind w:left="1080"/>
      </w:pPr>
      <w:r>
        <w:t>Leverage Contributions</w:t>
      </w:r>
      <w:r w:rsidR="0021510C">
        <w:t>,</w:t>
      </w:r>
    </w:p>
    <w:p w:rsidR="003D6D6F" w:rsidRDefault="003D6D6F" w:rsidP="003D6D6F">
      <w:pPr>
        <w:numPr>
          <w:ilvl w:val="0"/>
          <w:numId w:val="35"/>
        </w:numPr>
        <w:tabs>
          <w:tab w:val="left" w:pos="540"/>
        </w:tabs>
        <w:ind w:left="1080"/>
      </w:pPr>
      <w:r>
        <w:t>Financial Management,</w:t>
      </w:r>
    </w:p>
    <w:p w:rsidR="0021510C" w:rsidRDefault="0021510C" w:rsidP="0021510C">
      <w:pPr>
        <w:numPr>
          <w:ilvl w:val="0"/>
          <w:numId w:val="35"/>
        </w:numPr>
        <w:tabs>
          <w:tab w:val="left" w:pos="540"/>
        </w:tabs>
        <w:ind w:left="1080"/>
      </w:pPr>
      <w:r>
        <w:t>Cost Allowability,</w:t>
      </w:r>
    </w:p>
    <w:p w:rsidR="003D6D6F" w:rsidRDefault="003D6D6F" w:rsidP="003D6D6F">
      <w:pPr>
        <w:numPr>
          <w:ilvl w:val="0"/>
          <w:numId w:val="35"/>
        </w:numPr>
        <w:tabs>
          <w:tab w:val="left" w:pos="540"/>
        </w:tabs>
        <w:ind w:left="1080"/>
      </w:pPr>
      <w:r>
        <w:t>Procurement,</w:t>
      </w:r>
      <w:r w:rsidR="0021510C">
        <w:t xml:space="preserve"> and</w:t>
      </w:r>
    </w:p>
    <w:p w:rsidR="00463CC4" w:rsidRDefault="003D6D6F" w:rsidP="00DE308F">
      <w:pPr>
        <w:numPr>
          <w:ilvl w:val="0"/>
          <w:numId w:val="35"/>
        </w:numPr>
        <w:tabs>
          <w:tab w:val="left" w:pos="540"/>
        </w:tabs>
        <w:ind w:left="1080"/>
      </w:pPr>
      <w:r>
        <w:t>Equipment Management</w:t>
      </w:r>
      <w:r w:rsidR="0021510C">
        <w:t xml:space="preserve"> and Equipment Disposition</w:t>
      </w:r>
      <w:r w:rsidR="00463CC4">
        <w:t>.</w:t>
      </w:r>
    </w:p>
    <w:p w:rsidR="00463CC4" w:rsidRDefault="00463CC4" w:rsidP="00463CC4">
      <w:pPr>
        <w:tabs>
          <w:tab w:val="left" w:pos="540"/>
        </w:tabs>
        <w:ind w:left="1080"/>
      </w:pPr>
    </w:p>
    <w:p w:rsidR="003D6D6F" w:rsidRDefault="003D6D6F" w:rsidP="003D6D6F">
      <w:pPr>
        <w:tabs>
          <w:tab w:val="left" w:pos="540"/>
        </w:tabs>
        <w:ind w:left="720"/>
      </w:pPr>
      <w:r>
        <w:t xml:space="preserve">The </w:t>
      </w:r>
      <w:r w:rsidR="00347E89">
        <w:t>last</w:t>
      </w:r>
      <w:r w:rsidR="003D7514">
        <w:t xml:space="preserve"> four E</w:t>
      </w:r>
      <w:r>
        <w:t>xhibits in this Chapter will only be used for awards made before December 19, 2014 (FY 2014 awards and prior) and</w:t>
      </w:r>
      <w:r w:rsidR="001D442C">
        <w:t>,</w:t>
      </w:r>
      <w:r>
        <w:t xml:space="preserve"> therefore</w:t>
      </w:r>
      <w:r w:rsidR="001D442C">
        <w:t>,</w:t>
      </w:r>
      <w:r>
        <w:t xml:space="preserve"> subject to 24 CFR Part 84 and OMB Circulars</w:t>
      </w:r>
      <w:r w:rsidR="00347E89">
        <w:t>.  F</w:t>
      </w:r>
      <w:r>
        <w:t>or awards made after December 19, 2014 and</w:t>
      </w:r>
      <w:r w:rsidR="001D442C">
        <w:t>,</w:t>
      </w:r>
      <w:r>
        <w:t xml:space="preserve"> therefore</w:t>
      </w:r>
      <w:r w:rsidR="001D442C">
        <w:t>,</w:t>
      </w:r>
      <w:r>
        <w:t xml:space="preserve"> subject to 2 CFR </w:t>
      </w:r>
      <w:r w:rsidR="00C17EE5">
        <w:t xml:space="preserve">Part </w:t>
      </w:r>
      <w:r>
        <w:t xml:space="preserve">200, the </w:t>
      </w:r>
      <w:r w:rsidR="001D442C">
        <w:t>last</w:t>
      </w:r>
      <w:r w:rsidR="003D7514">
        <w:t xml:space="preserve"> four E</w:t>
      </w:r>
      <w:r w:rsidR="009C3D6D">
        <w:t>xhibits in this C</w:t>
      </w:r>
      <w:r>
        <w:t xml:space="preserve">hapter will be replaced by the four </w:t>
      </w:r>
      <w:r w:rsidR="003D7514">
        <w:t>master</w:t>
      </w:r>
      <w:r>
        <w:t xml:space="preserve"> 2 CFR </w:t>
      </w:r>
      <w:r w:rsidR="00C17EE5">
        <w:t xml:space="preserve">Part </w:t>
      </w:r>
      <w:r w:rsidR="003D7514">
        <w:t>200 E</w:t>
      </w:r>
      <w:r>
        <w:t xml:space="preserve">xhibits </w:t>
      </w:r>
      <w:r w:rsidR="003D7514">
        <w:t>in Chapter 34 o</w:t>
      </w:r>
      <w:r>
        <w:t xml:space="preserve">f this </w:t>
      </w:r>
      <w:r w:rsidRPr="00436E15">
        <w:rPr>
          <w:i/>
        </w:rPr>
        <w:t>CPD Monitoring Handbook</w:t>
      </w:r>
      <w:r>
        <w:t>.</w:t>
      </w:r>
    </w:p>
    <w:p w:rsidR="003D6D6F" w:rsidRDefault="003D6D6F" w:rsidP="003D6D6F">
      <w:pPr>
        <w:tabs>
          <w:tab w:val="left" w:pos="540"/>
        </w:tabs>
      </w:pPr>
    </w:p>
    <w:p w:rsidR="003D6D6F" w:rsidRDefault="00436E15" w:rsidP="003D6D6F">
      <w:pPr>
        <w:tabs>
          <w:tab w:val="left" w:pos="540"/>
        </w:tabs>
        <w:ind w:left="720"/>
      </w:pPr>
      <w:r>
        <w:t>Exhibits</w:t>
      </w:r>
      <w:r w:rsidR="001D442C">
        <w:t xml:space="preserve"> 32-1 </w:t>
      </w:r>
      <w:r w:rsidR="003D6D6F">
        <w:t xml:space="preserve">and </w:t>
      </w:r>
      <w:r w:rsidR="001D442C">
        <w:t>32-2</w:t>
      </w:r>
      <w:r w:rsidR="003D6D6F">
        <w:t xml:space="preserve"> in this </w:t>
      </w:r>
      <w:r w:rsidR="00C85FBB">
        <w:t>C</w:t>
      </w:r>
      <w:r w:rsidR="003D6D6F">
        <w:t xml:space="preserve">hapter are applicable to all awards as they </w:t>
      </w:r>
      <w:r w:rsidR="00463CC4">
        <w:t>are divided into two</w:t>
      </w:r>
      <w:r w:rsidR="003D6D6F">
        <w:t xml:space="preserve"> sections outlining questions derived from 24 CFR </w:t>
      </w:r>
      <w:r w:rsidR="00C17EE5">
        <w:t xml:space="preserve">Part </w:t>
      </w:r>
      <w:r w:rsidR="003D6D6F">
        <w:t xml:space="preserve">84 and OMB Circulars and questions derived from 2 CFR </w:t>
      </w:r>
      <w:r w:rsidR="00C17EE5">
        <w:t xml:space="preserve">Part </w:t>
      </w:r>
      <w:r w:rsidR="003D6D6F">
        <w:t xml:space="preserve">200. </w:t>
      </w:r>
    </w:p>
    <w:p w:rsidR="00155968" w:rsidRDefault="00155968" w:rsidP="00600E1D">
      <w:pPr>
        <w:tabs>
          <w:tab w:val="left" w:pos="540"/>
        </w:tabs>
        <w:ind w:left="720" w:hanging="720"/>
      </w:pPr>
    </w:p>
    <w:p w:rsidR="00600E1D" w:rsidRDefault="00155968" w:rsidP="00600E1D">
      <w:pPr>
        <w:tabs>
          <w:tab w:val="left" w:pos="540"/>
        </w:tabs>
        <w:ind w:left="720" w:hanging="720"/>
        <w:rPr>
          <w:bCs/>
        </w:rPr>
      </w:pPr>
      <w:r>
        <w:tab/>
      </w:r>
      <w:r>
        <w:tab/>
      </w:r>
      <w:r w:rsidR="00CB7E58">
        <w:t xml:space="preserve">The </w:t>
      </w:r>
      <w:r w:rsidR="006D10C4">
        <w:t>E</w:t>
      </w:r>
      <w:r w:rsidR="00CB7E58">
        <w:t>xhibits</w:t>
      </w:r>
      <w:r w:rsidR="00600E1D">
        <w:t xml:space="preserve"> should be used to monitor </w:t>
      </w:r>
      <w:r w:rsidR="0075180B">
        <w:t xml:space="preserve">selected grants as </w:t>
      </w:r>
      <w:r w:rsidR="00600E1D">
        <w:t xml:space="preserve">dictated by </w:t>
      </w:r>
      <w:r w:rsidR="0075180B">
        <w:t xml:space="preserve">the </w:t>
      </w:r>
      <w:r w:rsidR="00600E1D">
        <w:t xml:space="preserve">risk analysis results. </w:t>
      </w:r>
      <w:r w:rsidR="000537B0">
        <w:t xml:space="preserve"> </w:t>
      </w:r>
      <w:r w:rsidR="00600E1D">
        <w:t xml:space="preserve">HUD reviewers will need to </w:t>
      </w:r>
      <w:r w:rsidR="0075180B">
        <w:t>ensure</w:t>
      </w:r>
      <w:r w:rsidR="00600E1D">
        <w:t xml:space="preserve"> </w:t>
      </w:r>
      <w:r w:rsidR="0029469B">
        <w:t xml:space="preserve">that </w:t>
      </w:r>
      <w:r w:rsidR="00600E1D">
        <w:t xml:space="preserve">the program </w:t>
      </w:r>
      <w:r w:rsidR="00600E1D">
        <w:rPr>
          <w:bCs/>
        </w:rPr>
        <w:t>citation, which makes the funds subject to specific requirements, is cited,</w:t>
      </w:r>
      <w:r w:rsidR="00600E1D">
        <w:t xml:space="preserve"> if deficiencies are identified, along with the applicable </w:t>
      </w:r>
      <w:r w:rsidR="003D6D6F">
        <w:t>OMB Circular, 2 CFR Part</w:t>
      </w:r>
      <w:r w:rsidR="005D0DA8">
        <w:t xml:space="preserve"> 84, or </w:t>
      </w:r>
      <w:r w:rsidR="003D6D6F">
        <w:t>2 CFR Part</w:t>
      </w:r>
      <w:r w:rsidR="00600E1D">
        <w:t xml:space="preserve"> 200</w:t>
      </w:r>
      <w:r w:rsidR="005D0DA8">
        <w:t xml:space="preserve">, </w:t>
      </w:r>
      <w:r w:rsidR="00600E1D">
        <w:t>citation (</w:t>
      </w:r>
      <w:r w:rsidR="00600E1D">
        <w:rPr>
          <w:bCs/>
        </w:rPr>
        <w:t>e.g.,</w:t>
      </w:r>
      <w:r w:rsidR="002959FE">
        <w:rPr>
          <w:bCs/>
        </w:rPr>
        <w:t xml:space="preserve"> 24 CFR 84.41 or 2 CFR 200.321</w:t>
      </w:r>
      <w:r w:rsidR="00600E1D">
        <w:rPr>
          <w:bCs/>
        </w:rPr>
        <w:t xml:space="preserve">).  Note also that the terminology used to reference the entities receiving the Federal awards mirrors the language in 2 CFR </w:t>
      </w:r>
      <w:r w:rsidR="003D6D6F">
        <w:rPr>
          <w:bCs/>
        </w:rPr>
        <w:t>Part</w:t>
      </w:r>
      <w:r w:rsidR="00600E1D">
        <w:rPr>
          <w:bCs/>
        </w:rPr>
        <w:t xml:space="preserve"> 200</w:t>
      </w:r>
      <w:r w:rsidR="0075180B">
        <w:rPr>
          <w:bCs/>
        </w:rPr>
        <w:t>.</w:t>
      </w:r>
      <w:r w:rsidR="001B5632">
        <w:rPr>
          <w:bCs/>
        </w:rPr>
        <w:t xml:space="preserve"> </w:t>
      </w:r>
      <w:r w:rsidR="0075180B">
        <w:rPr>
          <w:bCs/>
        </w:rPr>
        <w:t xml:space="preserve"> “R</w:t>
      </w:r>
      <w:r w:rsidR="00600E1D">
        <w:rPr>
          <w:bCs/>
        </w:rPr>
        <w:t xml:space="preserve">ecipient” </w:t>
      </w:r>
      <w:r w:rsidR="0075180B">
        <w:rPr>
          <w:bCs/>
        </w:rPr>
        <w:t>is</w:t>
      </w:r>
      <w:r w:rsidR="00600E1D">
        <w:rPr>
          <w:bCs/>
        </w:rPr>
        <w:t xml:space="preserve"> t</w:t>
      </w:r>
      <w:r w:rsidR="0075180B">
        <w:rPr>
          <w:bCs/>
        </w:rPr>
        <w:t>he entity that directly receives</w:t>
      </w:r>
      <w:r w:rsidR="00600E1D">
        <w:rPr>
          <w:bCs/>
        </w:rPr>
        <w:t xml:space="preserve"> the Federal funds, e.g., program</w:t>
      </w:r>
      <w:r w:rsidR="0029469B">
        <w:rPr>
          <w:bCs/>
        </w:rPr>
        <w:t xml:space="preserve"> p</w:t>
      </w:r>
      <w:r w:rsidR="003D6D6F">
        <w:rPr>
          <w:bCs/>
        </w:rPr>
        <w:t>art</w:t>
      </w:r>
      <w:r w:rsidR="00600E1D">
        <w:rPr>
          <w:bCs/>
        </w:rPr>
        <w:t xml:space="preserve">icipant or grantee, and “subrecipient” </w:t>
      </w:r>
      <w:r w:rsidR="0075180B">
        <w:rPr>
          <w:bCs/>
        </w:rPr>
        <w:t>is</w:t>
      </w:r>
      <w:r w:rsidR="00600E1D">
        <w:rPr>
          <w:bCs/>
        </w:rPr>
        <w:t xml:space="preserve"> the entity that receives funds through the</w:t>
      </w:r>
      <w:r w:rsidR="0075180B">
        <w:rPr>
          <w:bCs/>
        </w:rPr>
        <w:t xml:space="preserve"> </w:t>
      </w:r>
      <w:r w:rsidR="009729C7">
        <w:rPr>
          <w:bCs/>
        </w:rPr>
        <w:t>r</w:t>
      </w:r>
      <w:r w:rsidR="0075180B">
        <w:rPr>
          <w:bCs/>
        </w:rPr>
        <w:t>ecipient or other</w:t>
      </w:r>
      <w:r w:rsidR="00600E1D">
        <w:rPr>
          <w:bCs/>
        </w:rPr>
        <w:t xml:space="preserve"> pass-through entity (see §§200.74, 200.86, and 200.93).</w:t>
      </w:r>
    </w:p>
    <w:p w:rsidR="005D0DA8" w:rsidRDefault="005D0DA8" w:rsidP="00600E1D">
      <w:pPr>
        <w:tabs>
          <w:tab w:val="left" w:pos="540"/>
        </w:tabs>
        <w:ind w:left="720" w:hanging="720"/>
        <w:rPr>
          <w:bCs/>
        </w:rPr>
      </w:pPr>
    </w:p>
    <w:p w:rsidR="0046531D" w:rsidRDefault="00C17EE5" w:rsidP="003D6D6F">
      <w:pPr>
        <w:ind w:left="720" w:right="720" w:hanging="630"/>
      </w:pPr>
      <w:r>
        <w:lastRenderedPageBreak/>
        <w:t>3</w:t>
      </w:r>
      <w:r w:rsidR="00216D9E">
        <w:t>2</w:t>
      </w:r>
      <w:r w:rsidR="005D0DA8">
        <w:t>-5</w:t>
      </w:r>
      <w:r w:rsidR="005D0DA8">
        <w:tab/>
      </w:r>
      <w:r w:rsidR="005D0DA8">
        <w:rPr>
          <w:u w:val="single"/>
        </w:rPr>
        <w:t>DOCUMENTATION</w:t>
      </w:r>
      <w:r w:rsidR="001B5632">
        <w:t xml:space="preserve">.  </w:t>
      </w:r>
      <w:r w:rsidR="005D0DA8">
        <w:t xml:space="preserve">Recipients are required to maintain records that fully demonstrate compliance with applicable requirements. </w:t>
      </w:r>
      <w:r w:rsidR="001B5632">
        <w:t xml:space="preserve"> </w:t>
      </w:r>
      <w:r w:rsidR="005D0DA8">
        <w:t xml:space="preserve">Monitoring documentation obtained by the HUD reviewer becomes </w:t>
      </w:r>
      <w:r w:rsidR="003D6D6F">
        <w:t>part</w:t>
      </w:r>
      <w:r w:rsidR="005D0DA8">
        <w:t xml:space="preserve"> of HUD's official files and also becomes an administrative record to support the need for corrective and remedial actions.</w:t>
      </w:r>
    </w:p>
    <w:sectPr w:rsidR="0046531D" w:rsidSect="00167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4F2" w:rsidRDefault="004214F2">
      <w:r>
        <w:separator/>
      </w:r>
    </w:p>
  </w:endnote>
  <w:endnote w:type="continuationSeparator" w:id="0">
    <w:p w:rsidR="004214F2" w:rsidRDefault="0042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C" w:rsidRPr="003F5EA1" w:rsidRDefault="003F5EA1">
    <w:pPr>
      <w:pStyle w:val="Footer"/>
      <w:rPr>
        <w:sz w:val="22"/>
        <w:szCs w:val="22"/>
      </w:rPr>
    </w:pPr>
    <w:r w:rsidRPr="003F5EA1">
      <w:rPr>
        <w:sz w:val="22"/>
        <w:szCs w:val="22"/>
      </w:rPr>
      <w:t>02</w:t>
    </w:r>
    <w:r w:rsidR="00CA3DAC" w:rsidRPr="003F5EA1">
      <w:rPr>
        <w:sz w:val="22"/>
        <w:szCs w:val="22"/>
      </w:rPr>
      <w:t>/</w:t>
    </w:r>
    <w:r w:rsidR="00513E29" w:rsidRPr="003F5EA1">
      <w:rPr>
        <w:sz w:val="22"/>
        <w:szCs w:val="22"/>
      </w:rPr>
      <w:t>201</w:t>
    </w:r>
    <w:r w:rsidRPr="003F5EA1">
      <w:rPr>
        <w:sz w:val="22"/>
        <w:szCs w:val="22"/>
      </w:rPr>
      <w:t>7</w:t>
    </w:r>
    <w:r w:rsidR="00CA3DAC" w:rsidRPr="003F5EA1">
      <w:rPr>
        <w:sz w:val="22"/>
        <w:szCs w:val="22"/>
      </w:rPr>
      <w:tab/>
      <w:t>3</w:t>
    </w:r>
    <w:r w:rsidR="00513E29" w:rsidRPr="003F5EA1">
      <w:rPr>
        <w:sz w:val="22"/>
        <w:szCs w:val="22"/>
      </w:rPr>
      <w:t>2</w:t>
    </w:r>
    <w:r w:rsidR="00CA3DAC" w:rsidRPr="003F5EA1">
      <w:rPr>
        <w:sz w:val="22"/>
        <w:szCs w:val="22"/>
      </w:rPr>
      <w:t>-</w:t>
    </w:r>
    <w:r w:rsidR="00CA3DAC" w:rsidRPr="003F5EA1">
      <w:rPr>
        <w:rStyle w:val="PageNumber"/>
        <w:sz w:val="22"/>
        <w:szCs w:val="22"/>
      </w:rPr>
      <w:fldChar w:fldCharType="begin"/>
    </w:r>
    <w:r w:rsidR="00CA3DAC" w:rsidRPr="003F5EA1">
      <w:rPr>
        <w:rStyle w:val="PageNumber"/>
        <w:sz w:val="22"/>
        <w:szCs w:val="22"/>
      </w:rPr>
      <w:instrText xml:space="preserve"> PAGE </w:instrText>
    </w:r>
    <w:r w:rsidR="00CA3DAC" w:rsidRPr="003F5EA1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4</w:t>
    </w:r>
    <w:r w:rsidR="00CA3DAC" w:rsidRPr="003F5EA1">
      <w:rPr>
        <w:rStyle w:val="PageNumber"/>
        <w:sz w:val="22"/>
        <w:szCs w:val="22"/>
      </w:rPr>
      <w:fldChar w:fldCharType="end"/>
    </w:r>
    <w:r w:rsidR="00CA3DAC" w:rsidRPr="003F5EA1">
      <w:rPr>
        <w:sz w:val="22"/>
        <w:szCs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C" w:rsidRPr="003F5EA1" w:rsidRDefault="00CA3DAC">
    <w:pPr>
      <w:pStyle w:val="Footer"/>
      <w:rPr>
        <w:sz w:val="22"/>
        <w:szCs w:val="22"/>
      </w:rPr>
    </w:pPr>
    <w:r>
      <w:tab/>
    </w:r>
    <w:bookmarkStart w:id="0" w:name="_GoBack"/>
    <w:r w:rsidR="00855E72" w:rsidRPr="003F5EA1">
      <w:rPr>
        <w:sz w:val="22"/>
        <w:szCs w:val="22"/>
      </w:rPr>
      <w:t>3</w:t>
    </w:r>
    <w:r w:rsidR="00513E29" w:rsidRPr="003F5EA1">
      <w:rPr>
        <w:sz w:val="22"/>
        <w:szCs w:val="22"/>
      </w:rPr>
      <w:t>2</w:t>
    </w:r>
    <w:r w:rsidRPr="003F5EA1">
      <w:rPr>
        <w:sz w:val="22"/>
        <w:szCs w:val="22"/>
      </w:rPr>
      <w:t>-</w:t>
    </w:r>
    <w:r w:rsidRPr="003F5EA1">
      <w:rPr>
        <w:rStyle w:val="PageNumber"/>
        <w:sz w:val="22"/>
        <w:szCs w:val="22"/>
      </w:rPr>
      <w:fldChar w:fldCharType="begin"/>
    </w:r>
    <w:r w:rsidRPr="003F5EA1">
      <w:rPr>
        <w:rStyle w:val="PageNumber"/>
        <w:sz w:val="22"/>
        <w:szCs w:val="22"/>
      </w:rPr>
      <w:instrText xml:space="preserve"> PAGE </w:instrText>
    </w:r>
    <w:r w:rsidRPr="003F5EA1">
      <w:rPr>
        <w:rStyle w:val="PageNumber"/>
        <w:sz w:val="22"/>
        <w:szCs w:val="22"/>
      </w:rPr>
      <w:fldChar w:fldCharType="separate"/>
    </w:r>
    <w:r w:rsidR="003F5EA1">
      <w:rPr>
        <w:rStyle w:val="PageNumber"/>
        <w:noProof/>
        <w:sz w:val="22"/>
        <w:szCs w:val="22"/>
      </w:rPr>
      <w:t>3</w:t>
    </w:r>
    <w:r w:rsidRPr="003F5EA1">
      <w:rPr>
        <w:rStyle w:val="PageNumber"/>
        <w:sz w:val="22"/>
        <w:szCs w:val="22"/>
      </w:rPr>
      <w:fldChar w:fldCharType="end"/>
    </w:r>
    <w:r w:rsidRPr="003F5EA1">
      <w:rPr>
        <w:sz w:val="22"/>
        <w:szCs w:val="22"/>
      </w:rPr>
      <w:tab/>
    </w:r>
    <w:r w:rsidR="003F5EA1" w:rsidRPr="003F5EA1">
      <w:rPr>
        <w:sz w:val="22"/>
        <w:szCs w:val="22"/>
      </w:rPr>
      <w:t>02</w:t>
    </w:r>
    <w:r w:rsidRPr="003F5EA1">
      <w:rPr>
        <w:sz w:val="22"/>
        <w:szCs w:val="22"/>
      </w:rPr>
      <w:t>/</w:t>
    </w:r>
    <w:r w:rsidR="00513E29" w:rsidRPr="003F5EA1">
      <w:rPr>
        <w:sz w:val="22"/>
        <w:szCs w:val="22"/>
      </w:rPr>
      <w:t>201</w:t>
    </w:r>
    <w:r w:rsidR="003F5EA1" w:rsidRPr="003F5EA1">
      <w:rPr>
        <w:sz w:val="22"/>
        <w:szCs w:val="22"/>
      </w:rPr>
      <w:t>7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C" w:rsidRPr="003F5EA1" w:rsidRDefault="00CA3DAC">
    <w:pPr>
      <w:pStyle w:val="Footer"/>
      <w:rPr>
        <w:sz w:val="22"/>
        <w:szCs w:val="22"/>
      </w:rPr>
    </w:pPr>
    <w:r>
      <w:tab/>
    </w:r>
    <w:r w:rsidRPr="003F5EA1">
      <w:rPr>
        <w:sz w:val="22"/>
        <w:szCs w:val="22"/>
      </w:rPr>
      <w:t>3</w:t>
    </w:r>
    <w:r w:rsidR="00513E29" w:rsidRPr="003F5EA1">
      <w:rPr>
        <w:sz w:val="22"/>
        <w:szCs w:val="22"/>
      </w:rPr>
      <w:t>2</w:t>
    </w:r>
    <w:r w:rsidRPr="003F5EA1">
      <w:rPr>
        <w:sz w:val="22"/>
        <w:szCs w:val="22"/>
      </w:rPr>
      <w:t>-</w:t>
    </w:r>
    <w:r w:rsidRPr="003F5EA1">
      <w:rPr>
        <w:rStyle w:val="PageNumber"/>
        <w:sz w:val="22"/>
        <w:szCs w:val="22"/>
      </w:rPr>
      <w:fldChar w:fldCharType="begin"/>
    </w:r>
    <w:r w:rsidRPr="003F5EA1">
      <w:rPr>
        <w:rStyle w:val="PageNumber"/>
        <w:sz w:val="22"/>
        <w:szCs w:val="22"/>
      </w:rPr>
      <w:instrText xml:space="preserve"> PAGE </w:instrText>
    </w:r>
    <w:r w:rsidRPr="003F5EA1">
      <w:rPr>
        <w:rStyle w:val="PageNumber"/>
        <w:sz w:val="22"/>
        <w:szCs w:val="22"/>
      </w:rPr>
      <w:fldChar w:fldCharType="separate"/>
    </w:r>
    <w:r w:rsidR="003F5EA1">
      <w:rPr>
        <w:rStyle w:val="PageNumber"/>
        <w:noProof/>
        <w:sz w:val="22"/>
        <w:szCs w:val="22"/>
      </w:rPr>
      <w:t>1</w:t>
    </w:r>
    <w:r w:rsidRPr="003F5EA1">
      <w:rPr>
        <w:rStyle w:val="PageNumber"/>
        <w:sz w:val="22"/>
        <w:szCs w:val="22"/>
      </w:rPr>
      <w:fldChar w:fldCharType="end"/>
    </w:r>
    <w:r w:rsidRPr="003F5EA1">
      <w:rPr>
        <w:rStyle w:val="PageNumber"/>
        <w:sz w:val="22"/>
        <w:szCs w:val="22"/>
      </w:rPr>
      <w:tab/>
    </w:r>
    <w:r w:rsidR="003F5EA1" w:rsidRPr="003F5EA1">
      <w:rPr>
        <w:rStyle w:val="PageNumber"/>
        <w:sz w:val="22"/>
        <w:szCs w:val="22"/>
      </w:rPr>
      <w:t>02/2017</w:t>
    </w:r>
  </w:p>
  <w:p w:rsidR="00CA3DAC" w:rsidRPr="003F5EA1" w:rsidRDefault="00CA3DAC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4F2" w:rsidRDefault="004214F2">
      <w:r>
        <w:separator/>
      </w:r>
    </w:p>
  </w:footnote>
  <w:footnote w:type="continuationSeparator" w:id="0">
    <w:p w:rsidR="004214F2" w:rsidRDefault="00421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C" w:rsidRDefault="00CA3DAC">
    <w:pPr>
      <w:pStyle w:val="Header"/>
    </w:pPr>
    <w:r>
      <w:t>6509.2 REV-7</w:t>
    </w:r>
    <w:r>
      <w:tab/>
    </w:r>
    <w:r>
      <w:tab/>
    </w:r>
  </w:p>
  <w:p w:rsidR="00CA3DAC" w:rsidRDefault="00CA3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C" w:rsidRDefault="00CA3DAC">
    <w:pPr>
      <w:pStyle w:val="Header"/>
    </w:pPr>
    <w:r>
      <w:tab/>
    </w:r>
    <w:r>
      <w:tab/>
      <w:t>6509.2 REV-7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DAC" w:rsidRDefault="00CA3DAC">
    <w:pPr>
      <w:pStyle w:val="Header"/>
    </w:pPr>
    <w:r>
      <w:tab/>
    </w:r>
    <w:r>
      <w:tab/>
      <w:t>6509.2 REV-7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72E"/>
    <w:multiLevelType w:val="hybridMultilevel"/>
    <w:tmpl w:val="D78C9E50"/>
    <w:lvl w:ilvl="0" w:tplc="023E5504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EB25C9"/>
    <w:multiLevelType w:val="multilevel"/>
    <w:tmpl w:val="1E0E43DC"/>
    <w:lvl w:ilvl="0">
      <w:start w:val="1"/>
      <w:numFmt w:val="decimal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40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840"/>
        </w:tabs>
        <w:ind w:left="5760" w:firstLine="0"/>
      </w:pPr>
      <w:rPr>
        <w:rFonts w:hint="default"/>
      </w:rPr>
    </w:lvl>
  </w:abstractNum>
  <w:abstractNum w:abstractNumId="2" w15:restartNumberingAfterBreak="0">
    <w:nsid w:val="0DCA2195"/>
    <w:multiLevelType w:val="hybridMultilevel"/>
    <w:tmpl w:val="FC18DFC2"/>
    <w:lvl w:ilvl="0" w:tplc="BB5AEE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DD26F52"/>
    <w:multiLevelType w:val="hybridMultilevel"/>
    <w:tmpl w:val="661492F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9D5AE0"/>
    <w:multiLevelType w:val="hybridMultilevel"/>
    <w:tmpl w:val="23BEA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FE540B"/>
    <w:multiLevelType w:val="multilevel"/>
    <w:tmpl w:val="03784B9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4757B2E"/>
    <w:multiLevelType w:val="hybridMultilevel"/>
    <w:tmpl w:val="77EACA96"/>
    <w:lvl w:ilvl="0" w:tplc="2C2E4F4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6D80488"/>
    <w:multiLevelType w:val="hybridMultilevel"/>
    <w:tmpl w:val="FF8AE248"/>
    <w:lvl w:ilvl="0" w:tplc="BAA2737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A002AE1"/>
    <w:multiLevelType w:val="hybridMultilevel"/>
    <w:tmpl w:val="5890F0D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B484905"/>
    <w:multiLevelType w:val="hybridMultilevel"/>
    <w:tmpl w:val="3292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772F8"/>
    <w:multiLevelType w:val="hybridMultilevel"/>
    <w:tmpl w:val="AFF24326"/>
    <w:lvl w:ilvl="0" w:tplc="854C3FB2">
      <w:start w:val="1"/>
      <w:numFmt w:val="none"/>
      <w:lvlText w:val="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1525F0"/>
    <w:multiLevelType w:val="hybridMultilevel"/>
    <w:tmpl w:val="1F3E185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5B7F89"/>
    <w:multiLevelType w:val="hybridMultilevel"/>
    <w:tmpl w:val="F48C2D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415D3"/>
    <w:multiLevelType w:val="hybridMultilevel"/>
    <w:tmpl w:val="12606036"/>
    <w:lvl w:ilvl="0" w:tplc="A044FF42">
      <w:start w:val="1"/>
      <w:numFmt w:val="lowerLetter"/>
      <w:lvlText w:val="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4" w15:restartNumberingAfterBreak="0">
    <w:nsid w:val="339E6863"/>
    <w:multiLevelType w:val="hybridMultilevel"/>
    <w:tmpl w:val="BAC490E2"/>
    <w:lvl w:ilvl="0" w:tplc="73C48556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33C1462"/>
    <w:multiLevelType w:val="hybridMultilevel"/>
    <w:tmpl w:val="3E303B52"/>
    <w:lvl w:ilvl="0" w:tplc="FF8C4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4C597D"/>
    <w:multiLevelType w:val="multilevel"/>
    <w:tmpl w:val="5E8CADB6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4A2F394F"/>
    <w:multiLevelType w:val="hybridMultilevel"/>
    <w:tmpl w:val="E332A112"/>
    <w:lvl w:ilvl="0" w:tplc="D1DA1F7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D7829CB"/>
    <w:multiLevelType w:val="hybridMultilevel"/>
    <w:tmpl w:val="7624A9B0"/>
    <w:lvl w:ilvl="0" w:tplc="70BA0B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4CC7D36">
      <w:start w:val="1"/>
      <w:numFmt w:val="lowerLetter"/>
      <w:lvlText w:val="%2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EC51F83"/>
    <w:multiLevelType w:val="hybridMultilevel"/>
    <w:tmpl w:val="8158936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CA842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196625"/>
    <w:multiLevelType w:val="hybridMultilevel"/>
    <w:tmpl w:val="A6629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F96C15"/>
    <w:multiLevelType w:val="multilevel"/>
    <w:tmpl w:val="429811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B3B4014"/>
    <w:multiLevelType w:val="multilevel"/>
    <w:tmpl w:val="D7A0BF56"/>
    <w:lvl w:ilvl="0">
      <w:start w:val="1"/>
      <w:numFmt w:val="decimal"/>
      <w:pStyle w:val="Level1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60AF60C2"/>
    <w:multiLevelType w:val="hybridMultilevel"/>
    <w:tmpl w:val="A4EA24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071F2C"/>
    <w:multiLevelType w:val="hybridMultilevel"/>
    <w:tmpl w:val="4A16B842"/>
    <w:lvl w:ilvl="0" w:tplc="32AAF7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82105B"/>
    <w:multiLevelType w:val="multilevel"/>
    <w:tmpl w:val="5C2214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50651BE"/>
    <w:multiLevelType w:val="hybridMultilevel"/>
    <w:tmpl w:val="BD3057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4332AC"/>
    <w:multiLevelType w:val="hybridMultilevel"/>
    <w:tmpl w:val="A658EB2A"/>
    <w:lvl w:ilvl="0" w:tplc="8B407E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69C15AF0"/>
    <w:multiLevelType w:val="hybridMultilevel"/>
    <w:tmpl w:val="EF08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07AEE"/>
    <w:multiLevelType w:val="multilevel"/>
    <w:tmpl w:val="D7A0BF56"/>
    <w:lvl w:ilvl="0">
      <w:start w:val="1"/>
      <w:numFmt w:val="decimal"/>
      <w:lvlText w:val="1-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70927130"/>
    <w:multiLevelType w:val="hybridMultilevel"/>
    <w:tmpl w:val="8AF0BC76"/>
    <w:lvl w:ilvl="0" w:tplc="1E0C2A6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5742A53"/>
    <w:multiLevelType w:val="hybridMultilevel"/>
    <w:tmpl w:val="8690C578"/>
    <w:lvl w:ilvl="0" w:tplc="62B675E0">
      <w:start w:val="2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A363BC1"/>
    <w:multiLevelType w:val="hybridMultilevel"/>
    <w:tmpl w:val="55122B24"/>
    <w:lvl w:ilvl="0" w:tplc="6090CD26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0C7DBE"/>
    <w:multiLevelType w:val="hybridMultilevel"/>
    <w:tmpl w:val="87A8BB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7F065F21"/>
    <w:multiLevelType w:val="multilevel"/>
    <w:tmpl w:val="662654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2"/>
  </w:num>
  <w:num w:numId="5">
    <w:abstractNumId w:val="10"/>
  </w:num>
  <w:num w:numId="6">
    <w:abstractNumId w:val="32"/>
  </w:num>
  <w:num w:numId="7">
    <w:abstractNumId w:val="24"/>
  </w:num>
  <w:num w:numId="8">
    <w:abstractNumId w:val="29"/>
  </w:num>
  <w:num w:numId="9">
    <w:abstractNumId w:val="27"/>
  </w:num>
  <w:num w:numId="10">
    <w:abstractNumId w:val="6"/>
  </w:num>
  <w:num w:numId="11">
    <w:abstractNumId w:val="14"/>
  </w:num>
  <w:num w:numId="12">
    <w:abstractNumId w:val="2"/>
  </w:num>
  <w:num w:numId="13">
    <w:abstractNumId w:val="16"/>
  </w:num>
  <w:num w:numId="14">
    <w:abstractNumId w:val="18"/>
  </w:num>
  <w:num w:numId="15">
    <w:abstractNumId w:val="13"/>
  </w:num>
  <w:num w:numId="16">
    <w:abstractNumId w:val="25"/>
  </w:num>
  <w:num w:numId="17">
    <w:abstractNumId w:val="19"/>
  </w:num>
  <w:num w:numId="18">
    <w:abstractNumId w:val="34"/>
  </w:num>
  <w:num w:numId="19">
    <w:abstractNumId w:val="31"/>
  </w:num>
  <w:num w:numId="20">
    <w:abstractNumId w:val="7"/>
  </w:num>
  <w:num w:numId="21">
    <w:abstractNumId w:val="5"/>
  </w:num>
  <w:num w:numId="22">
    <w:abstractNumId w:val="23"/>
  </w:num>
  <w:num w:numId="23">
    <w:abstractNumId w:val="17"/>
  </w:num>
  <w:num w:numId="24">
    <w:abstractNumId w:val="30"/>
  </w:num>
  <w:num w:numId="25">
    <w:abstractNumId w:val="21"/>
  </w:num>
  <w:num w:numId="26">
    <w:abstractNumId w:val="0"/>
  </w:num>
  <w:num w:numId="27">
    <w:abstractNumId w:val="28"/>
  </w:num>
  <w:num w:numId="28">
    <w:abstractNumId w:val="8"/>
  </w:num>
  <w:num w:numId="29">
    <w:abstractNumId w:val="20"/>
  </w:num>
  <w:num w:numId="30">
    <w:abstractNumId w:val="9"/>
  </w:num>
  <w:num w:numId="31">
    <w:abstractNumId w:val="26"/>
  </w:num>
  <w:num w:numId="32">
    <w:abstractNumId w:val="3"/>
  </w:num>
  <w:num w:numId="33">
    <w:abstractNumId w:val="12"/>
  </w:num>
  <w:num w:numId="34">
    <w:abstractNumId w:val="11"/>
  </w:num>
  <w:num w:numId="35">
    <w:abstractNumId w:val="3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E9"/>
    <w:rsid w:val="00005856"/>
    <w:rsid w:val="00031F27"/>
    <w:rsid w:val="0005287A"/>
    <w:rsid w:val="000537B0"/>
    <w:rsid w:val="000575BF"/>
    <w:rsid w:val="000840F9"/>
    <w:rsid w:val="00095292"/>
    <w:rsid w:val="0009662C"/>
    <w:rsid w:val="00097DA0"/>
    <w:rsid w:val="000B2C1B"/>
    <w:rsid w:val="000C131D"/>
    <w:rsid w:val="000D16CA"/>
    <w:rsid w:val="001068C1"/>
    <w:rsid w:val="00107009"/>
    <w:rsid w:val="0010779E"/>
    <w:rsid w:val="001208FF"/>
    <w:rsid w:val="00122E5D"/>
    <w:rsid w:val="00155968"/>
    <w:rsid w:val="001670E6"/>
    <w:rsid w:val="0017002F"/>
    <w:rsid w:val="00180C97"/>
    <w:rsid w:val="00197DD3"/>
    <w:rsid w:val="001A0033"/>
    <w:rsid w:val="001B5632"/>
    <w:rsid w:val="001D442C"/>
    <w:rsid w:val="001E7448"/>
    <w:rsid w:val="0021510C"/>
    <w:rsid w:val="00216D9E"/>
    <w:rsid w:val="00222926"/>
    <w:rsid w:val="00237934"/>
    <w:rsid w:val="00266ECD"/>
    <w:rsid w:val="00270897"/>
    <w:rsid w:val="0029469B"/>
    <w:rsid w:val="002959FE"/>
    <w:rsid w:val="002A05FB"/>
    <w:rsid w:val="00314EF2"/>
    <w:rsid w:val="00322D8B"/>
    <w:rsid w:val="00343B3F"/>
    <w:rsid w:val="00343EB2"/>
    <w:rsid w:val="00347E89"/>
    <w:rsid w:val="003548C0"/>
    <w:rsid w:val="00354C92"/>
    <w:rsid w:val="00382E2C"/>
    <w:rsid w:val="003A47BD"/>
    <w:rsid w:val="003D6D6F"/>
    <w:rsid w:val="003D7514"/>
    <w:rsid w:val="003E2E4D"/>
    <w:rsid w:val="003F58A3"/>
    <w:rsid w:val="003F5EA1"/>
    <w:rsid w:val="00405275"/>
    <w:rsid w:val="004214F2"/>
    <w:rsid w:val="004312F8"/>
    <w:rsid w:val="00436E15"/>
    <w:rsid w:val="00463CC4"/>
    <w:rsid w:val="0046531D"/>
    <w:rsid w:val="004A75DB"/>
    <w:rsid w:val="004E34A1"/>
    <w:rsid w:val="004F5353"/>
    <w:rsid w:val="00513E29"/>
    <w:rsid w:val="00516257"/>
    <w:rsid w:val="00550F93"/>
    <w:rsid w:val="00553D75"/>
    <w:rsid w:val="0058787B"/>
    <w:rsid w:val="00593BA5"/>
    <w:rsid w:val="0059660A"/>
    <w:rsid w:val="005A7A96"/>
    <w:rsid w:val="005D0DA8"/>
    <w:rsid w:val="005E192C"/>
    <w:rsid w:val="005E4525"/>
    <w:rsid w:val="00600E1D"/>
    <w:rsid w:val="00616910"/>
    <w:rsid w:val="0067768F"/>
    <w:rsid w:val="00680EE5"/>
    <w:rsid w:val="00697E46"/>
    <w:rsid w:val="006B2666"/>
    <w:rsid w:val="006D10C4"/>
    <w:rsid w:val="006F7B71"/>
    <w:rsid w:val="00713391"/>
    <w:rsid w:val="00727DB2"/>
    <w:rsid w:val="00750A01"/>
    <w:rsid w:val="0075180B"/>
    <w:rsid w:val="00754217"/>
    <w:rsid w:val="00784DD9"/>
    <w:rsid w:val="007E0315"/>
    <w:rsid w:val="00841685"/>
    <w:rsid w:val="00844F6A"/>
    <w:rsid w:val="008558E3"/>
    <w:rsid w:val="00855E72"/>
    <w:rsid w:val="00857E59"/>
    <w:rsid w:val="00862564"/>
    <w:rsid w:val="00881E5B"/>
    <w:rsid w:val="00886D5B"/>
    <w:rsid w:val="008A32E0"/>
    <w:rsid w:val="008C5F9B"/>
    <w:rsid w:val="00917C49"/>
    <w:rsid w:val="0094307E"/>
    <w:rsid w:val="0096468E"/>
    <w:rsid w:val="009729C7"/>
    <w:rsid w:val="009814C8"/>
    <w:rsid w:val="009836E0"/>
    <w:rsid w:val="00994505"/>
    <w:rsid w:val="009C3D6D"/>
    <w:rsid w:val="009E34F3"/>
    <w:rsid w:val="00A0301C"/>
    <w:rsid w:val="00A07FB2"/>
    <w:rsid w:val="00A2214E"/>
    <w:rsid w:val="00A41F1E"/>
    <w:rsid w:val="00A90B73"/>
    <w:rsid w:val="00AE3183"/>
    <w:rsid w:val="00B06144"/>
    <w:rsid w:val="00B21710"/>
    <w:rsid w:val="00B317E0"/>
    <w:rsid w:val="00B438EC"/>
    <w:rsid w:val="00B55184"/>
    <w:rsid w:val="00BA5272"/>
    <w:rsid w:val="00BD5096"/>
    <w:rsid w:val="00BF2E22"/>
    <w:rsid w:val="00BF37ED"/>
    <w:rsid w:val="00BF725B"/>
    <w:rsid w:val="00C17EE5"/>
    <w:rsid w:val="00C85FBB"/>
    <w:rsid w:val="00C87FE9"/>
    <w:rsid w:val="00C9676D"/>
    <w:rsid w:val="00CA3DAC"/>
    <w:rsid w:val="00CB3685"/>
    <w:rsid w:val="00CB7E58"/>
    <w:rsid w:val="00CC52E9"/>
    <w:rsid w:val="00D2530C"/>
    <w:rsid w:val="00D258CF"/>
    <w:rsid w:val="00D655BB"/>
    <w:rsid w:val="00DB108A"/>
    <w:rsid w:val="00DE308F"/>
    <w:rsid w:val="00E13A51"/>
    <w:rsid w:val="00E43B29"/>
    <w:rsid w:val="00E609E0"/>
    <w:rsid w:val="00E7748C"/>
    <w:rsid w:val="00EC59AF"/>
    <w:rsid w:val="00EE54E2"/>
    <w:rsid w:val="00EE56DB"/>
    <w:rsid w:val="00EE79CC"/>
    <w:rsid w:val="00F022BA"/>
    <w:rsid w:val="00F10D54"/>
    <w:rsid w:val="00F16335"/>
    <w:rsid w:val="00F213F2"/>
    <w:rsid w:val="00F30D66"/>
    <w:rsid w:val="00F31D46"/>
    <w:rsid w:val="00F736F8"/>
    <w:rsid w:val="00F85204"/>
    <w:rsid w:val="00FA7AF5"/>
    <w:rsid w:val="00FC1BA4"/>
    <w:rsid w:val="00FF0C9F"/>
    <w:rsid w:val="00FF2C66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4A180CB2"/>
  <w15:docId w15:val="{7B16D4B3-08F4-4D8E-A6AA-C4D05385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3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3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sz w:val="20"/>
    </w:rPr>
  </w:style>
  <w:style w:type="paragraph" w:customStyle="1" w:styleId="Level1">
    <w:name w:val="Level 1"/>
    <w:basedOn w:val="Header"/>
    <w:pPr>
      <w:numPr>
        <w:numId w:val="4"/>
      </w:numPr>
    </w:pPr>
  </w:style>
  <w:style w:type="paragraph" w:styleId="BodyTextIndent2">
    <w:name w:val="Body Text Indent 2"/>
    <w:basedOn w:val="Normal"/>
    <w:pPr>
      <w:ind w:left="720" w:hanging="720"/>
    </w:pPr>
  </w:style>
  <w:style w:type="paragraph" w:styleId="BlockText">
    <w:name w:val="Block Text"/>
    <w:basedOn w:val="Normal"/>
    <w:pPr>
      <w:ind w:left="1080" w:right="630" w:hanging="540"/>
    </w:p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BodyTextIndent3">
    <w:name w:val="Body Text Indent 3"/>
    <w:basedOn w:val="Normal"/>
    <w:pPr>
      <w:ind w:left="1800"/>
    </w:pPr>
  </w:style>
  <w:style w:type="paragraph" w:styleId="BodyText2">
    <w:name w:val="Body Text 2"/>
    <w:basedOn w:val="Normal"/>
    <w:pPr>
      <w:autoSpaceDE w:val="0"/>
      <w:autoSpaceDN w:val="0"/>
      <w:adjustRightInd w:val="0"/>
      <w:spacing w:line="240" w:lineRule="atLeast"/>
    </w:pPr>
    <w:rPr>
      <w:color w:val="000000"/>
      <w:szCs w:val="20"/>
    </w:rPr>
  </w:style>
  <w:style w:type="paragraph" w:styleId="BalloonText">
    <w:name w:val="Balloon Text"/>
    <w:basedOn w:val="Normal"/>
    <w:semiHidden/>
    <w:rsid w:val="00F16335"/>
    <w:rPr>
      <w:rFonts w:ascii="Tahoma" w:hAnsi="Tahoma" w:cs="Tahoma"/>
      <w:sz w:val="16"/>
      <w:szCs w:val="16"/>
    </w:rPr>
  </w:style>
  <w:style w:type="character" w:styleId="Hyperlink">
    <w:name w:val="Hyperlink"/>
    <w:rsid w:val="009945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6ECD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</w:rPr>
  </w:style>
  <w:style w:type="character" w:styleId="CommentReference">
    <w:name w:val="annotation reference"/>
    <w:rsid w:val="006D1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10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10C4"/>
  </w:style>
  <w:style w:type="paragraph" w:styleId="CommentSubject">
    <w:name w:val="annotation subject"/>
    <w:basedOn w:val="CommentText"/>
    <w:next w:val="CommentText"/>
    <w:link w:val="CommentSubjectChar"/>
    <w:rsid w:val="006D10C4"/>
    <w:rPr>
      <w:b/>
      <w:bCs/>
    </w:rPr>
  </w:style>
  <w:style w:type="character" w:customStyle="1" w:styleId="CommentSubjectChar">
    <w:name w:val="Comment Subject Char"/>
    <w:link w:val="CommentSubject"/>
    <w:rsid w:val="006D1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DD024-D116-4857-BEB3-E60E0D7F2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1166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Exhibit]</vt:lpstr>
    </vt:vector>
  </TitlesOfParts>
  <Company>U.S. Department of Housing and Urban Development</Company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Exhibit]</dc:title>
  <dc:creator>HUD</dc:creator>
  <cp:lastModifiedBy>Maguire, Deirdre</cp:lastModifiedBy>
  <cp:revision>4</cp:revision>
  <cp:lastPrinted>2016-03-31T11:05:00Z</cp:lastPrinted>
  <dcterms:created xsi:type="dcterms:W3CDTF">2016-11-01T15:07:00Z</dcterms:created>
  <dcterms:modified xsi:type="dcterms:W3CDTF">2017-02-27T13:04:00Z</dcterms:modified>
</cp:coreProperties>
</file>