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929"/>
        <w:gridCol w:w="720"/>
        <w:gridCol w:w="3008"/>
      </w:tblGrid>
      <w:tr w:rsidR="000616B5" w:rsidRPr="00B50B27" w14:paraId="07A1A6EE" w14:textId="77777777" w:rsidTr="004E56F4">
        <w:trPr>
          <w:cantSplit/>
        </w:trPr>
        <w:tc>
          <w:tcPr>
            <w:tcW w:w="9458" w:type="dxa"/>
            <w:gridSpan w:val="4"/>
          </w:tcPr>
          <w:p w14:paraId="380735A4" w14:textId="77777777" w:rsidR="000616B5" w:rsidRPr="00F9709B" w:rsidRDefault="000616B5" w:rsidP="000616B5">
            <w:pPr>
              <w:keepNext/>
              <w:keepLines/>
              <w:jc w:val="center"/>
              <w:rPr>
                <w:b/>
              </w:rPr>
            </w:pPr>
            <w:r w:rsidRPr="00F9709B">
              <w:rPr>
                <w:b/>
              </w:rPr>
              <w:t>Guide for Review of</w:t>
            </w:r>
            <w:r w:rsidR="00CC248D">
              <w:rPr>
                <w:b/>
              </w:rPr>
              <w:t xml:space="preserve"> ESG</w:t>
            </w:r>
            <w:r w:rsidRPr="00F9709B">
              <w:rPr>
                <w:b/>
              </w:rPr>
              <w:t xml:space="preserve"> Match Requirements</w:t>
            </w:r>
          </w:p>
        </w:tc>
      </w:tr>
      <w:tr w:rsidR="000616B5" w:rsidRPr="00B50B27" w14:paraId="48FAE76A" w14:textId="77777777" w:rsidTr="004E56F4">
        <w:trPr>
          <w:cantSplit/>
        </w:trPr>
        <w:tc>
          <w:tcPr>
            <w:tcW w:w="9458" w:type="dxa"/>
            <w:gridSpan w:val="4"/>
          </w:tcPr>
          <w:p w14:paraId="5F8D9D79" w14:textId="77777777" w:rsidR="000616B5" w:rsidRDefault="000616B5" w:rsidP="004674EC">
            <w:pPr>
              <w:keepNext/>
              <w:keepLines/>
              <w:rPr>
                <w:bCs/>
              </w:rPr>
            </w:pPr>
            <w:r w:rsidRPr="00AB66F6">
              <w:rPr>
                <w:b/>
                <w:bCs/>
              </w:rPr>
              <w:t>Name of Recipient:</w:t>
            </w:r>
            <w:r w:rsidRPr="00B50B27">
              <w:rPr>
                <w:bCs/>
              </w:rPr>
              <w:fldChar w:fldCharType="begin">
                <w:ffData>
                  <w:name w:val="Text1"/>
                  <w:enabled/>
                  <w:calcOnExit w:val="0"/>
                  <w:textInput/>
                </w:ffData>
              </w:fldChar>
            </w:r>
            <w:bookmarkStart w:id="0" w:name="Text1"/>
            <w:r w:rsidRPr="00B50B27">
              <w:rPr>
                <w:bCs/>
              </w:rPr>
              <w:instrText xml:space="preserve"> FORMTEXT </w:instrText>
            </w:r>
            <w:r w:rsidRPr="00B50B27">
              <w:rPr>
                <w:bCs/>
              </w:rPr>
            </w:r>
            <w:r w:rsidRPr="00B50B27">
              <w:rPr>
                <w:bCs/>
              </w:rPr>
              <w:fldChar w:fldCharType="separate"/>
            </w:r>
            <w:r w:rsidRPr="00B50B27">
              <w:rPr>
                <w:bCs/>
                <w:noProof/>
              </w:rPr>
              <w:t> </w:t>
            </w:r>
            <w:r w:rsidRPr="00B50B27">
              <w:rPr>
                <w:bCs/>
                <w:noProof/>
              </w:rPr>
              <w:t> </w:t>
            </w:r>
            <w:r w:rsidRPr="00B50B27">
              <w:rPr>
                <w:bCs/>
                <w:noProof/>
              </w:rPr>
              <w:t> </w:t>
            </w:r>
            <w:r w:rsidRPr="00B50B27">
              <w:rPr>
                <w:bCs/>
                <w:noProof/>
              </w:rPr>
              <w:t> </w:t>
            </w:r>
            <w:r w:rsidRPr="00B50B27">
              <w:rPr>
                <w:bCs/>
                <w:noProof/>
              </w:rPr>
              <w:t> </w:t>
            </w:r>
            <w:r w:rsidRPr="00B50B27">
              <w:rPr>
                <w:bCs/>
              </w:rPr>
              <w:fldChar w:fldCharType="end"/>
            </w:r>
            <w:bookmarkEnd w:id="0"/>
          </w:p>
          <w:p w14:paraId="56DF20D1" w14:textId="77777777" w:rsidR="004674EC" w:rsidRPr="00B50B27" w:rsidRDefault="004674EC" w:rsidP="004674EC">
            <w:pPr>
              <w:keepNext/>
              <w:keepLines/>
              <w:spacing w:line="120" w:lineRule="auto"/>
              <w:rPr>
                <w:bCs/>
              </w:rPr>
            </w:pPr>
          </w:p>
        </w:tc>
      </w:tr>
      <w:tr w:rsidR="003D1831" w:rsidRPr="00B50B27" w14:paraId="15CFF141" w14:textId="77777777" w:rsidTr="004E56F4">
        <w:trPr>
          <w:cantSplit/>
        </w:trPr>
        <w:tc>
          <w:tcPr>
            <w:tcW w:w="9458" w:type="dxa"/>
            <w:gridSpan w:val="4"/>
          </w:tcPr>
          <w:p w14:paraId="5C8CA027" w14:textId="77777777" w:rsidR="00E760F6" w:rsidRDefault="003D1831" w:rsidP="004674EC">
            <w:pPr>
              <w:keepNext/>
              <w:keepLines/>
              <w:rPr>
                <w:bCs/>
              </w:rPr>
            </w:pPr>
            <w:r>
              <w:rPr>
                <w:b/>
                <w:bCs/>
              </w:rPr>
              <w:t>Name of Subrecipient</w:t>
            </w:r>
            <w:r w:rsidR="00E760F6">
              <w:rPr>
                <w:b/>
                <w:bCs/>
              </w:rPr>
              <w:t>(s)</w:t>
            </w:r>
            <w:r>
              <w:rPr>
                <w:b/>
                <w:bCs/>
              </w:rPr>
              <w:t>:</w:t>
            </w:r>
            <w:r w:rsidR="00192C6F" w:rsidRPr="00B50B27">
              <w:rPr>
                <w:bCs/>
              </w:rPr>
              <w:fldChar w:fldCharType="begin">
                <w:ffData>
                  <w:name w:val="Text1"/>
                  <w:enabled/>
                  <w:calcOnExit w:val="0"/>
                  <w:textInput/>
                </w:ffData>
              </w:fldChar>
            </w:r>
            <w:r w:rsidR="00192C6F" w:rsidRPr="00B50B27">
              <w:rPr>
                <w:bCs/>
              </w:rPr>
              <w:instrText xml:space="preserve"> FORMTEXT </w:instrText>
            </w:r>
            <w:r w:rsidR="00192C6F" w:rsidRPr="00B50B27">
              <w:rPr>
                <w:bCs/>
              </w:rPr>
            </w:r>
            <w:r w:rsidR="00192C6F" w:rsidRPr="00B50B27">
              <w:rPr>
                <w:bCs/>
              </w:rPr>
              <w:fldChar w:fldCharType="separate"/>
            </w:r>
            <w:r w:rsidR="00192C6F" w:rsidRPr="00B50B27">
              <w:rPr>
                <w:bCs/>
                <w:noProof/>
              </w:rPr>
              <w:t> </w:t>
            </w:r>
            <w:r w:rsidR="00192C6F" w:rsidRPr="00B50B27">
              <w:rPr>
                <w:bCs/>
                <w:noProof/>
              </w:rPr>
              <w:t> </w:t>
            </w:r>
            <w:r w:rsidR="00192C6F" w:rsidRPr="00B50B27">
              <w:rPr>
                <w:bCs/>
                <w:noProof/>
              </w:rPr>
              <w:t> </w:t>
            </w:r>
            <w:r w:rsidR="00192C6F" w:rsidRPr="00B50B27">
              <w:rPr>
                <w:bCs/>
                <w:noProof/>
              </w:rPr>
              <w:t> </w:t>
            </w:r>
            <w:r w:rsidR="00192C6F" w:rsidRPr="00B50B27">
              <w:rPr>
                <w:bCs/>
                <w:noProof/>
              </w:rPr>
              <w:t> </w:t>
            </w:r>
            <w:r w:rsidR="00192C6F" w:rsidRPr="00B50B27">
              <w:rPr>
                <w:bCs/>
              </w:rPr>
              <w:fldChar w:fldCharType="end"/>
            </w:r>
          </w:p>
          <w:p w14:paraId="19E8DF6C" w14:textId="77777777" w:rsidR="004674EC" w:rsidRDefault="004674EC" w:rsidP="004674EC">
            <w:pPr>
              <w:keepNext/>
              <w:keepLines/>
              <w:spacing w:line="120" w:lineRule="auto"/>
              <w:rPr>
                <w:b/>
                <w:bCs/>
              </w:rPr>
            </w:pPr>
          </w:p>
        </w:tc>
      </w:tr>
      <w:tr w:rsidR="00B90AB1" w:rsidRPr="00B50B27" w14:paraId="079D2762" w14:textId="77777777" w:rsidTr="004E56F4">
        <w:trPr>
          <w:cantSplit/>
        </w:trPr>
        <w:tc>
          <w:tcPr>
            <w:tcW w:w="9458" w:type="dxa"/>
            <w:gridSpan w:val="4"/>
          </w:tcPr>
          <w:p w14:paraId="6566F4DF" w14:textId="77777777" w:rsidR="00B90AB1" w:rsidRDefault="00B90AB1" w:rsidP="004E56F4">
            <w:pPr>
              <w:keepNext/>
              <w:keepLines/>
              <w:rPr>
                <w:bCs/>
              </w:rPr>
            </w:pPr>
            <w:r>
              <w:rPr>
                <w:b/>
                <w:bCs/>
              </w:rPr>
              <w:t>Grant Number:</w:t>
            </w:r>
            <w:r w:rsidR="004674EC" w:rsidRPr="00B50B27">
              <w:rPr>
                <w:bCs/>
              </w:rPr>
              <w:t xml:space="preserve"> </w:t>
            </w:r>
            <w:r w:rsidR="004674EC" w:rsidRPr="00B50B27">
              <w:rPr>
                <w:bCs/>
              </w:rPr>
              <w:fldChar w:fldCharType="begin">
                <w:ffData>
                  <w:name w:val="Text1"/>
                  <w:enabled/>
                  <w:calcOnExit w:val="0"/>
                  <w:textInput/>
                </w:ffData>
              </w:fldChar>
            </w:r>
            <w:r w:rsidR="004674EC" w:rsidRPr="00B50B27">
              <w:rPr>
                <w:bCs/>
              </w:rPr>
              <w:instrText xml:space="preserve"> FORMTEXT </w:instrText>
            </w:r>
            <w:r w:rsidR="004674EC" w:rsidRPr="00B50B27">
              <w:rPr>
                <w:bCs/>
              </w:rPr>
            </w:r>
            <w:r w:rsidR="004674EC" w:rsidRPr="00B50B27">
              <w:rPr>
                <w:bCs/>
              </w:rPr>
              <w:fldChar w:fldCharType="separate"/>
            </w:r>
            <w:r w:rsidR="004674EC" w:rsidRPr="00B50B27">
              <w:rPr>
                <w:bCs/>
                <w:noProof/>
              </w:rPr>
              <w:t> </w:t>
            </w:r>
            <w:r w:rsidR="004674EC" w:rsidRPr="00B50B27">
              <w:rPr>
                <w:bCs/>
                <w:noProof/>
              </w:rPr>
              <w:t> </w:t>
            </w:r>
            <w:r w:rsidR="004674EC" w:rsidRPr="00B50B27">
              <w:rPr>
                <w:bCs/>
                <w:noProof/>
              </w:rPr>
              <w:t> </w:t>
            </w:r>
            <w:r w:rsidR="004674EC" w:rsidRPr="00B50B27">
              <w:rPr>
                <w:bCs/>
                <w:noProof/>
              </w:rPr>
              <w:t> </w:t>
            </w:r>
            <w:r w:rsidR="004674EC" w:rsidRPr="00B50B27">
              <w:rPr>
                <w:bCs/>
                <w:noProof/>
              </w:rPr>
              <w:t> </w:t>
            </w:r>
            <w:r w:rsidR="004674EC" w:rsidRPr="00B50B27">
              <w:rPr>
                <w:bCs/>
              </w:rPr>
              <w:fldChar w:fldCharType="end"/>
            </w:r>
          </w:p>
          <w:p w14:paraId="39CCF9EF" w14:textId="77777777" w:rsidR="004674EC" w:rsidRPr="00AB66F6" w:rsidRDefault="004674EC" w:rsidP="004674EC">
            <w:pPr>
              <w:keepNext/>
              <w:keepLines/>
              <w:spacing w:line="120" w:lineRule="auto"/>
              <w:rPr>
                <w:b/>
                <w:bCs/>
              </w:rPr>
            </w:pPr>
          </w:p>
        </w:tc>
      </w:tr>
      <w:tr w:rsidR="000616B5" w:rsidRPr="00B50B27" w14:paraId="21CDEECF" w14:textId="77777777" w:rsidTr="004E56F4">
        <w:trPr>
          <w:cantSplit/>
        </w:trPr>
        <w:tc>
          <w:tcPr>
            <w:tcW w:w="9458" w:type="dxa"/>
            <w:gridSpan w:val="4"/>
          </w:tcPr>
          <w:p w14:paraId="32FCA11C" w14:textId="77777777" w:rsidR="000616B5" w:rsidRDefault="000616B5" w:rsidP="004E56F4">
            <w:pPr>
              <w:keepNext/>
              <w:keepLines/>
              <w:rPr>
                <w:b/>
                <w:bCs/>
              </w:rPr>
            </w:pPr>
            <w:r w:rsidRPr="00AB66F6">
              <w:rPr>
                <w:b/>
                <w:bCs/>
              </w:rPr>
              <w:t>Staff Consulted:</w:t>
            </w:r>
            <w:r w:rsidRPr="00AB66F6">
              <w:rPr>
                <w:b/>
                <w:bCs/>
              </w:rPr>
              <w:fldChar w:fldCharType="begin">
                <w:ffData>
                  <w:name w:val="Text2"/>
                  <w:enabled/>
                  <w:calcOnExit w:val="0"/>
                  <w:textInput/>
                </w:ffData>
              </w:fldChar>
            </w:r>
            <w:bookmarkStart w:id="1" w:name="Text2"/>
            <w:r w:rsidRPr="00AB66F6">
              <w:rPr>
                <w:b/>
                <w:bCs/>
              </w:rPr>
              <w:instrText xml:space="preserve"> FORMTEXT </w:instrText>
            </w:r>
            <w:r w:rsidRPr="00AB66F6">
              <w:rPr>
                <w:b/>
                <w:bCs/>
              </w:rPr>
            </w:r>
            <w:r w:rsidRPr="00AB66F6">
              <w:rPr>
                <w:b/>
                <w:bCs/>
              </w:rPr>
              <w:fldChar w:fldCharType="separate"/>
            </w:r>
            <w:r w:rsidRPr="00AB66F6">
              <w:rPr>
                <w:b/>
                <w:bCs/>
                <w:noProof/>
              </w:rPr>
              <w:t> </w:t>
            </w:r>
            <w:r w:rsidRPr="00AB66F6">
              <w:rPr>
                <w:b/>
                <w:bCs/>
                <w:noProof/>
              </w:rPr>
              <w:t> </w:t>
            </w:r>
            <w:r w:rsidRPr="00AB66F6">
              <w:rPr>
                <w:b/>
                <w:bCs/>
                <w:noProof/>
              </w:rPr>
              <w:t> </w:t>
            </w:r>
            <w:r w:rsidRPr="00AB66F6">
              <w:rPr>
                <w:b/>
                <w:bCs/>
                <w:noProof/>
              </w:rPr>
              <w:t> </w:t>
            </w:r>
            <w:r w:rsidRPr="00AB66F6">
              <w:rPr>
                <w:b/>
                <w:bCs/>
                <w:noProof/>
              </w:rPr>
              <w:t> </w:t>
            </w:r>
            <w:r w:rsidRPr="00AB66F6">
              <w:rPr>
                <w:b/>
                <w:bCs/>
              </w:rPr>
              <w:fldChar w:fldCharType="end"/>
            </w:r>
            <w:bookmarkEnd w:id="1"/>
          </w:p>
          <w:p w14:paraId="20BD8617" w14:textId="77777777" w:rsidR="00AB66F6" w:rsidRPr="00AB66F6" w:rsidRDefault="00AB66F6" w:rsidP="004674EC">
            <w:pPr>
              <w:keepNext/>
              <w:keepLines/>
              <w:spacing w:line="120" w:lineRule="auto"/>
              <w:rPr>
                <w:b/>
                <w:bCs/>
              </w:rPr>
            </w:pPr>
          </w:p>
        </w:tc>
      </w:tr>
      <w:tr w:rsidR="000616B5" w:rsidRPr="00B50B27" w14:paraId="172D4FDB" w14:textId="77777777" w:rsidTr="004674EC">
        <w:trPr>
          <w:trHeight w:val="152"/>
        </w:trPr>
        <w:tc>
          <w:tcPr>
            <w:tcW w:w="2718" w:type="dxa"/>
          </w:tcPr>
          <w:p w14:paraId="744F357E" w14:textId="77777777" w:rsidR="000616B5" w:rsidRPr="00AB66F6" w:rsidRDefault="000616B5" w:rsidP="004E56F4">
            <w:pPr>
              <w:keepNext/>
              <w:keepLines/>
              <w:rPr>
                <w:b/>
              </w:rPr>
            </w:pPr>
            <w:r w:rsidRPr="00AB66F6">
              <w:rPr>
                <w:b/>
                <w:bCs/>
              </w:rPr>
              <w:t>Name(s) of Reviewer(s)</w:t>
            </w:r>
          </w:p>
        </w:tc>
        <w:tc>
          <w:tcPr>
            <w:tcW w:w="2970" w:type="dxa"/>
          </w:tcPr>
          <w:p w14:paraId="1DC408C1" w14:textId="77777777" w:rsidR="000616B5" w:rsidRDefault="000616B5" w:rsidP="004E56F4">
            <w:pPr>
              <w:keepNext/>
              <w:keepLines/>
            </w:pPr>
            <w:r w:rsidRPr="00B50B27">
              <w:fldChar w:fldCharType="begin">
                <w:ffData>
                  <w:name w:val="Text3"/>
                  <w:enabled/>
                  <w:calcOnExit w:val="0"/>
                  <w:textInput/>
                </w:ffData>
              </w:fldChar>
            </w:r>
            <w:bookmarkStart w:id="2" w:name="Text3"/>
            <w:r w:rsidRPr="00B50B27">
              <w:instrText xml:space="preserve"> FORMTEXT </w:instrText>
            </w:r>
            <w:r w:rsidRPr="00B50B27">
              <w:fldChar w:fldCharType="separate"/>
            </w:r>
            <w:r w:rsidRPr="00B50B27">
              <w:rPr>
                <w:noProof/>
              </w:rPr>
              <w:t> </w:t>
            </w:r>
            <w:r w:rsidRPr="00B50B27">
              <w:rPr>
                <w:noProof/>
              </w:rPr>
              <w:t> </w:t>
            </w:r>
            <w:r w:rsidRPr="00B50B27">
              <w:rPr>
                <w:noProof/>
              </w:rPr>
              <w:t> </w:t>
            </w:r>
            <w:r w:rsidRPr="00B50B27">
              <w:rPr>
                <w:noProof/>
              </w:rPr>
              <w:t> </w:t>
            </w:r>
            <w:r w:rsidRPr="00B50B27">
              <w:rPr>
                <w:noProof/>
              </w:rPr>
              <w:t> </w:t>
            </w:r>
            <w:r w:rsidRPr="00B50B27">
              <w:fldChar w:fldCharType="end"/>
            </w:r>
            <w:bookmarkEnd w:id="2"/>
          </w:p>
          <w:p w14:paraId="04908FD6" w14:textId="77777777" w:rsidR="004674EC" w:rsidRPr="00B50B27" w:rsidRDefault="004674EC" w:rsidP="004674EC">
            <w:pPr>
              <w:keepNext/>
              <w:keepLines/>
              <w:spacing w:line="120" w:lineRule="auto"/>
            </w:pPr>
          </w:p>
        </w:tc>
        <w:tc>
          <w:tcPr>
            <w:tcW w:w="720" w:type="dxa"/>
          </w:tcPr>
          <w:p w14:paraId="38EAAF4D" w14:textId="77777777" w:rsidR="000616B5" w:rsidRPr="00AB66F6" w:rsidRDefault="000616B5" w:rsidP="004E56F4">
            <w:pPr>
              <w:keepNext/>
              <w:keepLines/>
              <w:rPr>
                <w:b/>
              </w:rPr>
            </w:pPr>
            <w:r w:rsidRPr="00AB66F6">
              <w:rPr>
                <w:b/>
                <w:bCs/>
              </w:rPr>
              <w:t>Date</w:t>
            </w:r>
          </w:p>
        </w:tc>
        <w:tc>
          <w:tcPr>
            <w:tcW w:w="3050" w:type="dxa"/>
          </w:tcPr>
          <w:p w14:paraId="1E53FD68" w14:textId="77777777" w:rsidR="000616B5" w:rsidRPr="00B50B27" w:rsidRDefault="000616B5" w:rsidP="004E56F4">
            <w:pPr>
              <w:pStyle w:val="Header"/>
              <w:keepNext/>
              <w:keepLines/>
            </w:pPr>
            <w:r w:rsidRPr="00B50B27">
              <w:fldChar w:fldCharType="begin">
                <w:ffData>
                  <w:name w:val="Text4"/>
                  <w:enabled/>
                  <w:calcOnExit w:val="0"/>
                  <w:textInput/>
                </w:ffData>
              </w:fldChar>
            </w:r>
            <w:bookmarkStart w:id="3" w:name="Text4"/>
            <w:r w:rsidRPr="00B50B27">
              <w:instrText xml:space="preserve"> FORMTEXT </w:instrText>
            </w:r>
            <w:r w:rsidRPr="00B50B27">
              <w:fldChar w:fldCharType="separate"/>
            </w:r>
            <w:r w:rsidRPr="00B50B27">
              <w:rPr>
                <w:noProof/>
              </w:rPr>
              <w:t> </w:t>
            </w:r>
            <w:r w:rsidRPr="00B50B27">
              <w:rPr>
                <w:noProof/>
              </w:rPr>
              <w:t> </w:t>
            </w:r>
            <w:r w:rsidRPr="00B50B27">
              <w:rPr>
                <w:noProof/>
              </w:rPr>
              <w:t> </w:t>
            </w:r>
            <w:r w:rsidRPr="00B50B27">
              <w:rPr>
                <w:noProof/>
              </w:rPr>
              <w:t> </w:t>
            </w:r>
            <w:r w:rsidRPr="00B50B27">
              <w:rPr>
                <w:noProof/>
              </w:rPr>
              <w:t> </w:t>
            </w:r>
            <w:r w:rsidRPr="00B50B27">
              <w:fldChar w:fldCharType="end"/>
            </w:r>
            <w:bookmarkEnd w:id="3"/>
          </w:p>
        </w:tc>
      </w:tr>
    </w:tbl>
    <w:p w14:paraId="405D4C91" w14:textId="77777777" w:rsidR="000616B5" w:rsidRPr="00B50B27" w:rsidRDefault="000616B5" w:rsidP="00BF0E71">
      <w:pPr>
        <w:tabs>
          <w:tab w:val="left" w:pos="720"/>
          <w:tab w:val="left" w:pos="1440"/>
          <w:tab w:val="left" w:pos="2160"/>
          <w:tab w:val="left" w:pos="3735"/>
        </w:tabs>
        <w:rPr>
          <w:bCs/>
        </w:rPr>
      </w:pPr>
      <w:r w:rsidRPr="00B50B27">
        <w:tab/>
      </w:r>
      <w:r w:rsidRPr="00B50B27">
        <w:tab/>
      </w:r>
      <w:r w:rsidRPr="00B50B27">
        <w:tab/>
      </w:r>
      <w:r w:rsidR="00BF0E71">
        <w:tab/>
      </w:r>
    </w:p>
    <w:p w14:paraId="564F1F81" w14:textId="77777777" w:rsidR="000616B5" w:rsidRPr="00AB66F6" w:rsidRDefault="000616B5" w:rsidP="000616B5">
      <w:pPr>
        <w:pStyle w:val="BodyTextIndent"/>
        <w:ind w:left="864" w:hanging="864"/>
        <w:rPr>
          <w:bCs/>
          <w:sz w:val="22"/>
          <w:szCs w:val="22"/>
        </w:rPr>
      </w:pPr>
      <w:r w:rsidRPr="00AB66F6">
        <w:rPr>
          <w:b/>
          <w:bCs/>
          <w:sz w:val="22"/>
          <w:szCs w:val="22"/>
        </w:rPr>
        <w:t>NOTE:</w:t>
      </w:r>
      <w:r w:rsidRPr="00AB66F6">
        <w:rPr>
          <w:sz w:val="22"/>
          <w:szCs w:val="22"/>
        </w:rPr>
        <w:t xml:space="preserve">   All questions that address requirements contain the citation for the source of the requirement (statute, regulation, or grant agreement).  If the requirement is not met, </w:t>
      </w:r>
      <w:r w:rsidR="000227C0">
        <w:rPr>
          <w:sz w:val="22"/>
          <w:szCs w:val="20"/>
        </w:rPr>
        <w:t>HUD must select “NO” in response to the question and make a finding of noncompliance</w:t>
      </w:r>
      <w:r w:rsidRPr="00AB66F6">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AB66F6">
        <w:rPr>
          <w:bCs/>
          <w:sz w:val="22"/>
          <w:szCs w:val="22"/>
        </w:rPr>
        <w:t>"</w:t>
      </w:r>
      <w:r w:rsidRPr="00E66782">
        <w:rPr>
          <w:b/>
          <w:bCs/>
          <w:sz w:val="22"/>
          <w:szCs w:val="22"/>
        </w:rPr>
        <w:t>finding</w:t>
      </w:r>
      <w:r w:rsidRPr="00AB66F6">
        <w:rPr>
          <w:bCs/>
          <w:sz w:val="22"/>
          <w:szCs w:val="22"/>
        </w:rPr>
        <w:t>.</w:t>
      </w:r>
      <w:r w:rsidRPr="00AB66F6">
        <w:rPr>
          <w:sz w:val="22"/>
          <w:szCs w:val="22"/>
        </w:rPr>
        <w:t xml:space="preserve">"  </w:t>
      </w:r>
    </w:p>
    <w:p w14:paraId="347886FC" w14:textId="77777777" w:rsidR="000616B5" w:rsidRPr="00B50B27" w:rsidRDefault="000616B5" w:rsidP="000616B5"/>
    <w:p w14:paraId="23C13027" w14:textId="5CA050BA" w:rsidR="000616B5" w:rsidRPr="00B50B27" w:rsidRDefault="000616B5" w:rsidP="00990B4C">
      <w:pPr>
        <w:keepNext/>
        <w:keepLines/>
        <w:contextualSpacing/>
        <w:rPr>
          <w:bCs/>
          <w:u w:val="single"/>
        </w:rPr>
      </w:pPr>
      <w:r w:rsidRPr="00AB66F6">
        <w:rPr>
          <w:b/>
          <w:bCs/>
          <w:u w:val="single"/>
        </w:rPr>
        <w:t>Instructions</w:t>
      </w:r>
      <w:r w:rsidRPr="00AB66F6">
        <w:rPr>
          <w:b/>
          <w:bCs/>
        </w:rPr>
        <w:t>:</w:t>
      </w:r>
      <w:r w:rsidRPr="00B50B27">
        <w:rPr>
          <w:bCs/>
        </w:rPr>
        <w:t xml:space="preserve">  </w:t>
      </w:r>
      <w:r w:rsidRPr="00B50B27">
        <w:t>This Exhibit is designed to assess a recipient</w:t>
      </w:r>
      <w:r w:rsidR="00247191">
        <w:t>’s</w:t>
      </w:r>
      <w:r w:rsidRPr="00B50B27">
        <w:t xml:space="preserve"> adherence to the </w:t>
      </w:r>
      <w:r w:rsidR="003D1831">
        <w:t>ESG</w:t>
      </w:r>
      <w:r w:rsidR="003D1831" w:rsidRPr="00B50B27">
        <w:t xml:space="preserve"> </w:t>
      </w:r>
      <w:r w:rsidRPr="00B50B27">
        <w:t xml:space="preserve">program’s Match requirements </w:t>
      </w:r>
      <w:r w:rsidR="005F2798" w:rsidRPr="00B50B27">
        <w:t>and</w:t>
      </w:r>
      <w:r w:rsidRPr="00B50B27">
        <w:t xml:space="preserve"> the eligibility of the program’s </w:t>
      </w:r>
      <w:r w:rsidR="000C28FF" w:rsidRPr="00B50B27">
        <w:t xml:space="preserve">match </w:t>
      </w:r>
      <w:r w:rsidRPr="00B50B27">
        <w:t xml:space="preserve">expenditures.  </w:t>
      </w:r>
      <w:r w:rsidR="00376945">
        <w:t>When completing this E</w:t>
      </w:r>
      <w:r w:rsidR="00376945" w:rsidRPr="005D4089">
        <w:t>xhibit</w:t>
      </w:r>
      <w:r w:rsidR="00657E93">
        <w:t xml:space="preserve">, </w:t>
      </w:r>
      <w:r w:rsidR="00376945" w:rsidRPr="00376945">
        <w:t>the HUD Reviewer</w:t>
      </w:r>
      <w:r w:rsidR="00657E93">
        <w:t xml:space="preserve"> must also complete Exhibit 28-8</w:t>
      </w:r>
      <w:r w:rsidR="00FC5E6D">
        <w:t>,</w:t>
      </w:r>
      <w:r w:rsidR="00657E93">
        <w:t xml:space="preserve"> or Exhibit 3</w:t>
      </w:r>
      <w:r w:rsidR="0014212E">
        <w:t>4</w:t>
      </w:r>
      <w:r w:rsidR="00657E93">
        <w:t>-1</w:t>
      </w:r>
      <w:r w:rsidR="00372700">
        <w:t xml:space="preserve"> and 34-2</w:t>
      </w:r>
      <w:r w:rsidR="00657E93">
        <w:t>, as directed in the instructions to Exhibit 28-8</w:t>
      </w:r>
      <w:r w:rsidR="00376945" w:rsidRPr="00376945">
        <w:t>.</w:t>
      </w:r>
      <w:r w:rsidR="00657E93">
        <w:t xml:space="preserve">  </w:t>
      </w:r>
      <w:r w:rsidR="00376945" w:rsidRPr="00376945">
        <w:t xml:space="preserve"> </w:t>
      </w:r>
    </w:p>
    <w:p w14:paraId="17E60469" w14:textId="77777777" w:rsidR="00990B4C" w:rsidRDefault="00990B4C" w:rsidP="00990B4C">
      <w:pPr>
        <w:pStyle w:val="Header"/>
        <w:contextualSpacing/>
        <w:rPr>
          <w:b/>
          <w:bCs/>
          <w:u w:val="single"/>
        </w:rPr>
      </w:pPr>
    </w:p>
    <w:p w14:paraId="45610DB4" w14:textId="799D056C" w:rsidR="000616B5" w:rsidRDefault="000616B5" w:rsidP="00990B4C">
      <w:pPr>
        <w:pStyle w:val="Header"/>
        <w:contextualSpacing/>
        <w:rPr>
          <w:b/>
          <w:bCs/>
          <w:u w:val="single"/>
        </w:rPr>
      </w:pPr>
      <w:r w:rsidRPr="001508E2">
        <w:rPr>
          <w:b/>
          <w:bCs/>
          <w:u w:val="single"/>
        </w:rPr>
        <w:t>Questions:</w:t>
      </w:r>
    </w:p>
    <w:p w14:paraId="653CDDC7" w14:textId="77777777" w:rsidR="00FC5E6D" w:rsidRDefault="00FC5E6D" w:rsidP="00FC5E6D">
      <w:pPr>
        <w:spacing w:line="120" w:lineRule="auto"/>
      </w:pPr>
    </w:p>
    <w:p w14:paraId="24F7F146" w14:textId="77777777" w:rsidR="00FC5E6D" w:rsidRDefault="00354D44" w:rsidP="00354D44">
      <w:r w:rsidRPr="004E6F33">
        <w:rPr>
          <w:b/>
        </w:rPr>
        <w:t>NOTE</w:t>
      </w:r>
      <w:r>
        <w:t>: The following questions pertain to all ESG Program match contributions.</w:t>
      </w:r>
    </w:p>
    <w:p w14:paraId="62FAF7E5" w14:textId="5CA79B26" w:rsidR="00354D44" w:rsidRDefault="00354D44" w:rsidP="00FC5E6D">
      <w:pPr>
        <w:spacing w:line="120" w:lineRule="auto"/>
      </w:pPr>
      <w:r>
        <w:t xml:space="preserve"> </w:t>
      </w:r>
    </w:p>
    <w:p w14:paraId="37577B72" w14:textId="77777777" w:rsidR="000616B5" w:rsidRDefault="000616B5" w:rsidP="00E20A86">
      <w:pPr>
        <w:pStyle w:val="Style1"/>
        <w:widowControl w:val="0"/>
        <w:numPr>
          <w:ilvl w:val="0"/>
          <w:numId w:val="9"/>
        </w:numPr>
        <w:spacing w:after="0" w:line="240" w:lineRule="auto"/>
        <w:ind w:left="36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A86" w14:paraId="256568EE" w14:textId="77777777" w:rsidTr="00367F28">
        <w:trPr>
          <w:trHeight w:val="773"/>
        </w:trPr>
        <w:tc>
          <w:tcPr>
            <w:tcW w:w="7385" w:type="dxa"/>
            <w:tcBorders>
              <w:bottom w:val="single" w:sz="4" w:space="0" w:color="auto"/>
            </w:tcBorders>
          </w:tcPr>
          <w:p w14:paraId="3227A213" w14:textId="77777777" w:rsidR="00972015" w:rsidRPr="00B50B27" w:rsidRDefault="00972015" w:rsidP="0097201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B50B27">
              <w:t xml:space="preserve">If the recipient is a metropolitan city or an urban county, did it make matching contributions to supplement its ESG program in an amount that equals the amount of ESG funds provided by HUD?  </w:t>
            </w:r>
          </w:p>
          <w:p w14:paraId="35818EB1" w14:textId="7B9C98C8" w:rsidR="00E20A86" w:rsidRDefault="00972015" w:rsidP="0097201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B50B27">
              <w:t>[</w:t>
            </w:r>
            <w:r w:rsidR="00414DF3">
              <w:t xml:space="preserve">24 CFR </w:t>
            </w:r>
            <w:r w:rsidRPr="00B50B27">
              <w:t>576.201(a)]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A86" w14:paraId="61CE8768" w14:textId="77777777" w:rsidTr="00367F28">
              <w:trPr>
                <w:trHeight w:val="170"/>
              </w:trPr>
              <w:tc>
                <w:tcPr>
                  <w:tcW w:w="425" w:type="dxa"/>
                </w:tcPr>
                <w:p w14:paraId="464BE355"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685D1535"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56039095"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E20A86" w14:paraId="4CC1EEA9" w14:textId="77777777" w:rsidTr="00367F28">
              <w:trPr>
                <w:trHeight w:val="225"/>
              </w:trPr>
              <w:tc>
                <w:tcPr>
                  <w:tcW w:w="425" w:type="dxa"/>
                </w:tcPr>
                <w:p w14:paraId="4B2D9478"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A5AAD1"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96EAFF"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EDA1CF"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E20A86" w14:paraId="7C2257EB" w14:textId="77777777" w:rsidTr="00367F28">
        <w:trPr>
          <w:cantSplit/>
        </w:trPr>
        <w:tc>
          <w:tcPr>
            <w:tcW w:w="9010" w:type="dxa"/>
            <w:gridSpan w:val="2"/>
            <w:tcBorders>
              <w:bottom w:val="nil"/>
            </w:tcBorders>
          </w:tcPr>
          <w:p w14:paraId="3E772710"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20A86" w14:paraId="294A762C" w14:textId="77777777" w:rsidTr="00367F28">
        <w:trPr>
          <w:cantSplit/>
        </w:trPr>
        <w:tc>
          <w:tcPr>
            <w:tcW w:w="9010" w:type="dxa"/>
            <w:gridSpan w:val="2"/>
            <w:tcBorders>
              <w:top w:val="nil"/>
            </w:tcBorders>
          </w:tcPr>
          <w:p w14:paraId="5A6D2C54" w14:textId="286242C9" w:rsidR="00192C6F"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8A43FCA" w14:textId="77777777" w:rsidR="000616B5" w:rsidRDefault="00E20A86" w:rsidP="00414DF3">
      <w:pPr>
        <w:pStyle w:val="Style1"/>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A86" w14:paraId="17E3BF83" w14:textId="77777777" w:rsidTr="00990B4C">
        <w:trPr>
          <w:trHeight w:val="773"/>
        </w:trPr>
        <w:tc>
          <w:tcPr>
            <w:tcW w:w="7367" w:type="dxa"/>
            <w:tcBorders>
              <w:bottom w:val="single" w:sz="4" w:space="0" w:color="auto"/>
            </w:tcBorders>
          </w:tcPr>
          <w:p w14:paraId="402FFF00" w14:textId="77777777" w:rsidR="00414DF3" w:rsidRPr="00B50B27" w:rsidRDefault="00414DF3" w:rsidP="00414DF3">
            <w:pPr>
              <w:widowControl w:val="0"/>
              <w:tabs>
                <w:tab w:val="left" w:pos="365"/>
                <w:tab w:val="left" w:pos="1440"/>
                <w:tab w:val="left" w:pos="2160"/>
                <w:tab w:val="left" w:pos="2880"/>
                <w:tab w:val="left" w:pos="3600"/>
                <w:tab w:val="center" w:pos="4320"/>
                <w:tab w:val="left" w:pos="5040"/>
                <w:tab w:val="left" w:pos="5760"/>
                <w:tab w:val="left" w:pos="6480"/>
                <w:tab w:val="right" w:pos="8640"/>
              </w:tabs>
            </w:pPr>
            <w:r w:rsidRPr="00B50B27">
              <w:t xml:space="preserve">If the recipient is a State, did it: </w:t>
            </w:r>
          </w:p>
          <w:p w14:paraId="0C567BF2" w14:textId="77777777" w:rsidR="00414DF3" w:rsidRPr="00414DF3" w:rsidRDefault="00414DF3" w:rsidP="00220587">
            <w:pPr>
              <w:pStyle w:val="ListParagraph"/>
              <w:widowControl w:val="0"/>
              <w:numPr>
                <w:ilvl w:val="0"/>
                <w:numId w:val="5"/>
              </w:numPr>
              <w:ind w:left="365"/>
              <w:rPr>
                <w:rFonts w:ascii="Times New Roman" w:hAnsi="Times New Roman"/>
                <w:sz w:val="24"/>
                <w:szCs w:val="24"/>
              </w:rPr>
            </w:pPr>
            <w:r>
              <w:rPr>
                <w:rFonts w:ascii="Times New Roman" w:hAnsi="Times New Roman"/>
                <w:sz w:val="24"/>
                <w:szCs w:val="24"/>
              </w:rPr>
              <w:t>m</w:t>
            </w:r>
            <w:r w:rsidRPr="00414DF3">
              <w:rPr>
                <w:rFonts w:ascii="Times New Roman" w:hAnsi="Times New Roman"/>
                <w:sz w:val="24"/>
                <w:szCs w:val="24"/>
              </w:rPr>
              <w:t xml:space="preserve">ake matching contributions to supplement its ESG program in an amount that equals the amount of ESG funds provided by HUD except for the first $100,000 </w:t>
            </w:r>
            <w:r w:rsidR="00207F71">
              <w:rPr>
                <w:rFonts w:ascii="Times New Roman" w:hAnsi="Times New Roman"/>
                <w:sz w:val="24"/>
                <w:szCs w:val="24"/>
              </w:rPr>
              <w:t>o</w:t>
            </w:r>
            <w:r w:rsidRPr="00414DF3">
              <w:rPr>
                <w:rFonts w:ascii="Times New Roman" w:hAnsi="Times New Roman"/>
                <w:sz w:val="24"/>
                <w:szCs w:val="24"/>
              </w:rPr>
              <w:t xml:space="preserve">f the fiscal year grant, which is not required to be matched, and </w:t>
            </w:r>
          </w:p>
          <w:p w14:paraId="6CDD9754" w14:textId="77777777" w:rsidR="00414DF3" w:rsidRPr="00B50B27" w:rsidRDefault="00DC1A57" w:rsidP="00220587">
            <w:pPr>
              <w:pStyle w:val="ListParagraph"/>
              <w:widowControl w:val="0"/>
              <w:numPr>
                <w:ilvl w:val="0"/>
                <w:numId w:val="5"/>
              </w:numPr>
              <w:ind w:left="365"/>
              <w:rPr>
                <w:rFonts w:ascii="Times New Roman" w:hAnsi="Times New Roman"/>
                <w:sz w:val="24"/>
                <w:szCs w:val="24"/>
              </w:rPr>
            </w:pPr>
            <w:r>
              <w:rPr>
                <w:rFonts w:ascii="Times New Roman" w:hAnsi="Times New Roman"/>
                <w:sz w:val="24"/>
                <w:szCs w:val="24"/>
              </w:rPr>
              <w:t>t</w:t>
            </w:r>
            <w:r w:rsidR="00414DF3" w:rsidRPr="00B50B27">
              <w:rPr>
                <w:rFonts w:ascii="Times New Roman" w:hAnsi="Times New Roman"/>
                <w:sz w:val="24"/>
                <w:szCs w:val="24"/>
              </w:rPr>
              <w:t xml:space="preserve">ransfer the benefit of this exception to its subrecipients that are least </w:t>
            </w:r>
            <w:r w:rsidR="00207F71">
              <w:rPr>
                <w:rFonts w:ascii="Times New Roman" w:hAnsi="Times New Roman"/>
                <w:sz w:val="24"/>
                <w:szCs w:val="24"/>
              </w:rPr>
              <w:t xml:space="preserve">able to provide </w:t>
            </w:r>
            <w:r w:rsidR="00414DF3" w:rsidRPr="00B50B27">
              <w:rPr>
                <w:rFonts w:ascii="Times New Roman" w:hAnsi="Times New Roman"/>
                <w:sz w:val="24"/>
                <w:szCs w:val="24"/>
              </w:rPr>
              <w:t xml:space="preserve">the recipient with matching contributions? </w:t>
            </w:r>
          </w:p>
          <w:p w14:paraId="0C0355FF" w14:textId="419E26F8" w:rsidR="00E20A86" w:rsidRDefault="00414DF3" w:rsidP="00414DF3">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B50B27">
              <w:t>576.201(a)]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A86" w14:paraId="13BA3798" w14:textId="77777777" w:rsidTr="00367F28">
              <w:trPr>
                <w:trHeight w:val="170"/>
              </w:trPr>
              <w:tc>
                <w:tcPr>
                  <w:tcW w:w="425" w:type="dxa"/>
                </w:tcPr>
                <w:p w14:paraId="7706E170"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5E0382AB"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47B8B310"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E20A86" w14:paraId="49EC14DF" w14:textId="77777777" w:rsidTr="00367F28">
              <w:trPr>
                <w:trHeight w:val="225"/>
              </w:trPr>
              <w:tc>
                <w:tcPr>
                  <w:tcW w:w="425" w:type="dxa"/>
                </w:tcPr>
                <w:p w14:paraId="69F38055"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8F2CF9"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BD1C1B"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E9796B"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20A86" w14:paraId="29ECB997" w14:textId="77777777" w:rsidTr="00990B4C">
        <w:trPr>
          <w:cantSplit/>
          <w:trHeight w:val="323"/>
        </w:trPr>
        <w:tc>
          <w:tcPr>
            <w:tcW w:w="8990" w:type="dxa"/>
            <w:gridSpan w:val="2"/>
            <w:tcBorders>
              <w:bottom w:val="nil"/>
            </w:tcBorders>
          </w:tcPr>
          <w:p w14:paraId="1736BC91" w14:textId="77777777" w:rsidR="00E20A86"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20A86" w14:paraId="68291A47" w14:textId="77777777" w:rsidTr="00990B4C">
        <w:trPr>
          <w:cantSplit/>
        </w:trPr>
        <w:tc>
          <w:tcPr>
            <w:tcW w:w="8990" w:type="dxa"/>
            <w:gridSpan w:val="2"/>
            <w:tcBorders>
              <w:top w:val="nil"/>
            </w:tcBorders>
          </w:tcPr>
          <w:p w14:paraId="681B1F62" w14:textId="77777777" w:rsidR="00220587" w:rsidRDefault="00E20A86" w:rsidP="00414DF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A3FCE2" w14:textId="582D9788" w:rsidR="004E6F33" w:rsidRDefault="004E6F33" w:rsidP="00414DF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17E26DC" w14:textId="46B547A8" w:rsidR="00990B4C" w:rsidRDefault="00990B4C" w:rsidP="00990B4C">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0B4C" w14:paraId="48408975" w14:textId="77777777" w:rsidTr="00D3029D">
        <w:trPr>
          <w:trHeight w:val="773"/>
        </w:trPr>
        <w:tc>
          <w:tcPr>
            <w:tcW w:w="7385" w:type="dxa"/>
            <w:tcBorders>
              <w:bottom w:val="single" w:sz="4" w:space="0" w:color="auto"/>
            </w:tcBorders>
          </w:tcPr>
          <w:p w14:paraId="0FA5AE27" w14:textId="77777777" w:rsidR="00990B4C" w:rsidRPr="00B50B27" w:rsidRDefault="00990B4C" w:rsidP="00D3029D">
            <w:pPr>
              <w:widowControl w:val="0"/>
              <w:tabs>
                <w:tab w:val="left" w:pos="365"/>
                <w:tab w:val="left" w:pos="1440"/>
                <w:tab w:val="left" w:pos="2160"/>
                <w:tab w:val="left" w:pos="2880"/>
                <w:tab w:val="left" w:pos="3600"/>
                <w:tab w:val="center" w:pos="4320"/>
                <w:tab w:val="left" w:pos="5040"/>
                <w:tab w:val="left" w:pos="5760"/>
                <w:tab w:val="left" w:pos="6480"/>
                <w:tab w:val="right" w:pos="8640"/>
              </w:tabs>
            </w:pPr>
            <w:r>
              <w:t>If</w:t>
            </w:r>
            <w:r w:rsidRPr="00B50B27">
              <w:t xml:space="preserve"> the recipient count</w:t>
            </w:r>
            <w:r>
              <w:t>ed</w:t>
            </w:r>
            <w:r w:rsidRPr="00B50B27">
              <w:t xml:space="preserve"> costs paid by program income toward meeting the recipient’s matching requirements, </w:t>
            </w:r>
            <w:r>
              <w:t>were</w:t>
            </w:r>
            <w:r w:rsidRPr="00B50B27">
              <w:t xml:space="preserve"> th</w:t>
            </w:r>
            <w:r>
              <w:t>os</w:t>
            </w:r>
            <w:r w:rsidRPr="00B50B27">
              <w:t xml:space="preserve">e costs eligible ESG costs that supplemented the recipient’s ESG program?  </w:t>
            </w:r>
          </w:p>
          <w:p w14:paraId="6216B4C1"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B50B27">
              <w:t>576.201(f)]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0B4C" w14:paraId="67E115EF" w14:textId="77777777" w:rsidTr="00D3029D">
              <w:trPr>
                <w:trHeight w:val="170"/>
              </w:trPr>
              <w:tc>
                <w:tcPr>
                  <w:tcW w:w="425" w:type="dxa"/>
                </w:tcPr>
                <w:p w14:paraId="1C213EDC"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4275433B"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27A108F3"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990B4C" w14:paraId="40B05FF8" w14:textId="77777777" w:rsidTr="00D3029D">
              <w:trPr>
                <w:trHeight w:val="225"/>
              </w:trPr>
              <w:tc>
                <w:tcPr>
                  <w:tcW w:w="425" w:type="dxa"/>
                </w:tcPr>
                <w:p w14:paraId="411372DA"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29E6CB"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87CC2B"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5E7879"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90B4C" w14:paraId="0CE51F23" w14:textId="77777777" w:rsidTr="00D3029D">
        <w:trPr>
          <w:cantSplit/>
        </w:trPr>
        <w:tc>
          <w:tcPr>
            <w:tcW w:w="9010" w:type="dxa"/>
            <w:gridSpan w:val="2"/>
            <w:tcBorders>
              <w:bottom w:val="nil"/>
            </w:tcBorders>
          </w:tcPr>
          <w:p w14:paraId="6EE61CA0"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90B4C" w14:paraId="557CF1AA" w14:textId="77777777" w:rsidTr="00D3029D">
        <w:trPr>
          <w:cantSplit/>
        </w:trPr>
        <w:tc>
          <w:tcPr>
            <w:tcW w:w="9010" w:type="dxa"/>
            <w:gridSpan w:val="2"/>
            <w:tcBorders>
              <w:top w:val="nil"/>
            </w:tcBorders>
          </w:tcPr>
          <w:p w14:paraId="7C37B8EE" w14:textId="77777777" w:rsidR="00990B4C" w:rsidRDefault="00990B4C" w:rsidP="00D302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52D333" w14:textId="5B2D8442" w:rsidR="00776218" w:rsidRDefault="00776218" w:rsidP="00D3029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54FF20E" w14:textId="631A54FF" w:rsidR="00990B4C" w:rsidRDefault="00990B4C" w:rsidP="00990B4C">
      <w:pPr>
        <w:pStyle w:val="Style1"/>
        <w:numPr>
          <w:ilvl w:val="0"/>
          <w:numId w:val="0"/>
        </w:numPr>
        <w:spacing w:after="0" w:line="240" w:lineRule="auto"/>
        <w:rPr>
          <w:rFonts w:ascii="Times New Roman" w:hAnsi="Times New Roman"/>
          <w:sz w:val="24"/>
          <w:szCs w:val="24"/>
        </w:rPr>
      </w:pPr>
      <w:r>
        <w:rPr>
          <w:rFonts w:ascii="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0B4C" w14:paraId="5E607F7F" w14:textId="77777777" w:rsidTr="00D3029D">
        <w:trPr>
          <w:trHeight w:val="773"/>
        </w:trPr>
        <w:tc>
          <w:tcPr>
            <w:tcW w:w="7385" w:type="dxa"/>
            <w:tcBorders>
              <w:bottom w:val="single" w:sz="4" w:space="0" w:color="auto"/>
            </w:tcBorders>
          </w:tcPr>
          <w:p w14:paraId="5705E11F" w14:textId="77777777" w:rsidR="00990B4C" w:rsidRDefault="00990B4C" w:rsidP="00D3029D">
            <w:pPr>
              <w:widowControl w:val="0"/>
              <w:tabs>
                <w:tab w:val="left" w:pos="365"/>
                <w:tab w:val="left" w:pos="1440"/>
                <w:tab w:val="left" w:pos="2160"/>
                <w:tab w:val="left" w:pos="2880"/>
                <w:tab w:val="left" w:pos="3600"/>
                <w:tab w:val="center" w:pos="4320"/>
                <w:tab w:val="left" w:pos="5040"/>
                <w:tab w:val="left" w:pos="5760"/>
                <w:tab w:val="left" w:pos="6480"/>
                <w:tab w:val="right" w:pos="8640"/>
              </w:tabs>
              <w:ind w:left="275" w:hanging="270"/>
            </w:pPr>
            <w:r>
              <w:t xml:space="preserve">a.  </w:t>
            </w:r>
            <w:r w:rsidRPr="00B50B27">
              <w:t xml:space="preserve">Did the recipient keep records of the source and use of </w:t>
            </w:r>
            <w:r>
              <w:t xml:space="preserve">ESG matching </w:t>
            </w:r>
            <w:r w:rsidRPr="00B50B27">
              <w:t xml:space="preserve">contributions?  </w:t>
            </w:r>
          </w:p>
          <w:p w14:paraId="179A3A88" w14:textId="77777777" w:rsidR="00990B4C" w:rsidRPr="00B50B27" w:rsidRDefault="00990B4C" w:rsidP="00D3029D">
            <w:pPr>
              <w:widowControl w:val="0"/>
              <w:tabs>
                <w:tab w:val="left" w:pos="365"/>
                <w:tab w:val="left" w:pos="1440"/>
                <w:tab w:val="left" w:pos="2160"/>
                <w:tab w:val="left" w:pos="2880"/>
                <w:tab w:val="left" w:pos="3600"/>
                <w:tab w:val="center" w:pos="4320"/>
                <w:tab w:val="left" w:pos="5040"/>
                <w:tab w:val="left" w:pos="5760"/>
                <w:tab w:val="left" w:pos="6480"/>
                <w:tab w:val="right" w:pos="8640"/>
              </w:tabs>
            </w:pPr>
            <w:r>
              <w:t xml:space="preserve">b.  </w:t>
            </w:r>
            <w:r w:rsidRPr="00B50B27">
              <w:t>Did the records indicate:</w:t>
            </w:r>
          </w:p>
          <w:p w14:paraId="12C425D6" w14:textId="77777777" w:rsidR="00990B4C" w:rsidRPr="00B90AB1" w:rsidRDefault="00990B4C" w:rsidP="00D3029D">
            <w:pPr>
              <w:pStyle w:val="ListParagraph"/>
              <w:widowControl w:val="0"/>
              <w:numPr>
                <w:ilvl w:val="0"/>
                <w:numId w:val="8"/>
              </w:numPr>
              <w:rPr>
                <w:rFonts w:ascii="Times New Roman" w:hAnsi="Times New Roman"/>
                <w:sz w:val="24"/>
                <w:szCs w:val="24"/>
              </w:rPr>
            </w:pPr>
            <w:r w:rsidRPr="00B90AB1">
              <w:rPr>
                <w:rFonts w:ascii="Times New Roman" w:hAnsi="Times New Roman"/>
                <w:sz w:val="24"/>
                <w:szCs w:val="24"/>
              </w:rPr>
              <w:t xml:space="preserve">the particular fiscal year grant for which each matching contribution </w:t>
            </w:r>
            <w:r>
              <w:rPr>
                <w:rFonts w:ascii="Times New Roman" w:hAnsi="Times New Roman"/>
                <w:sz w:val="24"/>
                <w:szCs w:val="24"/>
              </w:rPr>
              <w:t>wa</w:t>
            </w:r>
            <w:r w:rsidRPr="00B90AB1">
              <w:rPr>
                <w:rFonts w:ascii="Times New Roman" w:hAnsi="Times New Roman"/>
                <w:sz w:val="24"/>
                <w:szCs w:val="24"/>
              </w:rPr>
              <w:t>s counted;</w:t>
            </w:r>
          </w:p>
          <w:p w14:paraId="09EC3F96" w14:textId="77777777" w:rsidR="00990B4C" w:rsidRPr="00B50B27" w:rsidRDefault="00990B4C" w:rsidP="00D3029D">
            <w:pPr>
              <w:pStyle w:val="ListParagraph"/>
              <w:widowControl w:val="0"/>
              <w:numPr>
                <w:ilvl w:val="0"/>
                <w:numId w:val="8"/>
              </w:numPr>
              <w:contextualSpacing w:val="0"/>
              <w:rPr>
                <w:rFonts w:ascii="Times New Roman" w:hAnsi="Times New Roman"/>
                <w:sz w:val="24"/>
                <w:szCs w:val="24"/>
              </w:rPr>
            </w:pPr>
            <w:r>
              <w:rPr>
                <w:rFonts w:ascii="Times New Roman" w:hAnsi="Times New Roman"/>
                <w:sz w:val="24"/>
                <w:szCs w:val="24"/>
              </w:rPr>
              <w:t>h</w:t>
            </w:r>
            <w:r w:rsidRPr="00B50B27">
              <w:rPr>
                <w:rFonts w:ascii="Times New Roman" w:hAnsi="Times New Roman"/>
                <w:sz w:val="24"/>
                <w:szCs w:val="24"/>
              </w:rPr>
              <w:t xml:space="preserve">ow the value placed on third-party, noncash contributions was derived; </w:t>
            </w:r>
            <w:r>
              <w:rPr>
                <w:rFonts w:ascii="Times New Roman" w:hAnsi="Times New Roman"/>
                <w:sz w:val="24"/>
                <w:szCs w:val="24"/>
              </w:rPr>
              <w:t>and</w:t>
            </w:r>
          </w:p>
          <w:p w14:paraId="475023DA" w14:textId="77777777" w:rsidR="00990B4C" w:rsidRPr="00B50B27" w:rsidRDefault="00990B4C" w:rsidP="00D3029D">
            <w:pPr>
              <w:pStyle w:val="ListParagraph"/>
              <w:widowControl w:val="0"/>
              <w:numPr>
                <w:ilvl w:val="0"/>
                <w:numId w:val="8"/>
              </w:numPr>
              <w:contextualSpacing w:val="0"/>
              <w:rPr>
                <w:rFonts w:ascii="Times New Roman" w:hAnsi="Times New Roman"/>
                <w:sz w:val="24"/>
                <w:szCs w:val="24"/>
              </w:rPr>
            </w:pPr>
            <w:r w:rsidRPr="00B50B27">
              <w:rPr>
                <w:rFonts w:ascii="Times New Roman" w:hAnsi="Times New Roman"/>
                <w:sz w:val="24"/>
                <w:szCs w:val="24"/>
              </w:rPr>
              <w:t>that volunteer services were supported</w:t>
            </w:r>
            <w:r>
              <w:rPr>
                <w:rFonts w:ascii="Times New Roman" w:hAnsi="Times New Roman"/>
                <w:sz w:val="24"/>
                <w:szCs w:val="24"/>
              </w:rPr>
              <w:t>,</w:t>
            </w:r>
            <w:r w:rsidRPr="00B50B27">
              <w:rPr>
                <w:rFonts w:ascii="Times New Roman" w:hAnsi="Times New Roman"/>
                <w:sz w:val="24"/>
                <w:szCs w:val="24"/>
              </w:rPr>
              <w:t xml:space="preserve"> </w:t>
            </w:r>
            <w:r>
              <w:rPr>
                <w:rFonts w:ascii="Times New Roman" w:hAnsi="Times New Roman"/>
                <w:sz w:val="24"/>
                <w:szCs w:val="24"/>
              </w:rPr>
              <w:t>t</w:t>
            </w:r>
            <w:r w:rsidRPr="00B50B27">
              <w:rPr>
                <w:rFonts w:ascii="Times New Roman" w:hAnsi="Times New Roman"/>
                <w:sz w:val="24"/>
                <w:szCs w:val="24"/>
              </w:rPr>
              <w:t xml:space="preserve">o the extent feasible, by the same methods that the organization uses to support the allocation of regular personnel costs? </w:t>
            </w:r>
          </w:p>
          <w:p w14:paraId="687C2B2C"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576.500(o)</w:t>
            </w:r>
            <w:r w:rsidRPr="00B50B2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0B4C" w14:paraId="742BA705" w14:textId="77777777" w:rsidTr="00D3029D">
              <w:trPr>
                <w:trHeight w:val="170"/>
              </w:trPr>
              <w:tc>
                <w:tcPr>
                  <w:tcW w:w="425" w:type="dxa"/>
                </w:tcPr>
                <w:p w14:paraId="7E913409"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2386438B"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70D9F227"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990B4C" w14:paraId="782E2FDE" w14:textId="77777777" w:rsidTr="00D3029D">
              <w:trPr>
                <w:trHeight w:val="225"/>
              </w:trPr>
              <w:tc>
                <w:tcPr>
                  <w:tcW w:w="425" w:type="dxa"/>
                </w:tcPr>
                <w:p w14:paraId="49B35789"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321231"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F0991A"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EF536F"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90B4C" w14:paraId="4B93C6E5" w14:textId="77777777" w:rsidTr="00D3029D">
        <w:trPr>
          <w:cantSplit/>
        </w:trPr>
        <w:tc>
          <w:tcPr>
            <w:tcW w:w="9010" w:type="dxa"/>
            <w:gridSpan w:val="2"/>
            <w:tcBorders>
              <w:bottom w:val="nil"/>
            </w:tcBorders>
          </w:tcPr>
          <w:p w14:paraId="3708117D"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90B4C" w14:paraId="4A14ADB2" w14:textId="77777777" w:rsidTr="00D3029D">
        <w:trPr>
          <w:cantSplit/>
        </w:trPr>
        <w:tc>
          <w:tcPr>
            <w:tcW w:w="9010" w:type="dxa"/>
            <w:gridSpan w:val="2"/>
            <w:tcBorders>
              <w:top w:val="nil"/>
            </w:tcBorders>
          </w:tcPr>
          <w:p w14:paraId="3496DD19" w14:textId="77777777" w:rsidR="00990B4C" w:rsidRDefault="00990B4C"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0D7380" w14:textId="10F2258A" w:rsidR="00776218" w:rsidRDefault="00776218" w:rsidP="00D3029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A94BEEE" w14:textId="77777777" w:rsidR="00990B4C" w:rsidRDefault="00990B4C" w:rsidP="00776218">
      <w:pPr>
        <w:spacing w:line="120" w:lineRule="auto"/>
      </w:pPr>
    </w:p>
    <w:p w14:paraId="4091AE57" w14:textId="5686C086" w:rsidR="00B368A3" w:rsidRDefault="00B368A3" w:rsidP="00B368A3">
      <w:r w:rsidRPr="004E6F33">
        <w:rPr>
          <w:b/>
        </w:rPr>
        <w:t>NOTE</w:t>
      </w:r>
      <w:r>
        <w:t xml:space="preserve">: The following questions pertain to match contributions made before January 6, 2016. </w:t>
      </w:r>
    </w:p>
    <w:p w14:paraId="1A272193" w14:textId="77777777" w:rsidR="00776218" w:rsidRDefault="00776218" w:rsidP="00776218">
      <w:pPr>
        <w:pStyle w:val="Style1"/>
        <w:numPr>
          <w:ilvl w:val="0"/>
          <w:numId w:val="0"/>
        </w:numPr>
        <w:spacing w:after="0" w:line="120" w:lineRule="auto"/>
        <w:ind w:left="360" w:hanging="360"/>
        <w:rPr>
          <w:rFonts w:ascii="Times New Roman" w:hAnsi="Times New Roman"/>
          <w:sz w:val="24"/>
          <w:szCs w:val="24"/>
        </w:rPr>
      </w:pPr>
    </w:p>
    <w:p w14:paraId="0BE20E22" w14:textId="428241E7" w:rsidR="000616B5" w:rsidRDefault="00990B4C" w:rsidP="00776218">
      <w:pPr>
        <w:pStyle w:val="Style1"/>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5</w:t>
      </w:r>
      <w:r w:rsidR="00E20A86">
        <w:rPr>
          <w:rFonts w:ascii="Times New Roman" w:hAnsi="Times New Roman"/>
          <w:sz w:val="24"/>
          <w:szCs w:val="24"/>
        </w:rPr>
        <w:t>.</w:t>
      </w:r>
      <w:r w:rsidR="002B5507">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A86" w14:paraId="3BF40967" w14:textId="77777777" w:rsidTr="00367F28">
        <w:trPr>
          <w:trHeight w:val="773"/>
        </w:trPr>
        <w:tc>
          <w:tcPr>
            <w:tcW w:w="7385" w:type="dxa"/>
            <w:tcBorders>
              <w:bottom w:val="single" w:sz="4" w:space="0" w:color="auto"/>
            </w:tcBorders>
          </w:tcPr>
          <w:p w14:paraId="7A44EDE3" w14:textId="04B11F2D" w:rsidR="00D927A6" w:rsidRPr="00B50B27" w:rsidRDefault="00D927A6" w:rsidP="00D927A6">
            <w:pPr>
              <w:tabs>
                <w:tab w:val="left" w:pos="365"/>
                <w:tab w:val="left" w:pos="1440"/>
                <w:tab w:val="left" w:pos="2160"/>
                <w:tab w:val="left" w:pos="2880"/>
                <w:tab w:val="left" w:pos="3600"/>
                <w:tab w:val="center" w:pos="4320"/>
                <w:tab w:val="left" w:pos="5040"/>
                <w:tab w:val="left" w:pos="5760"/>
                <w:tab w:val="left" w:pos="6480"/>
                <w:tab w:val="right" w:pos="8640"/>
              </w:tabs>
            </w:pPr>
            <w:r w:rsidRPr="00B50B27">
              <w:t>Did all match contribut</w:t>
            </w:r>
            <w:r w:rsidR="00FD6EE5">
              <w:t xml:space="preserve">ed before January 6, 2016, </w:t>
            </w:r>
            <w:r w:rsidRPr="00B50B27">
              <w:t>meet the following requirements:</w:t>
            </w:r>
          </w:p>
          <w:p w14:paraId="41671EDE" w14:textId="77777777" w:rsidR="00D927A6" w:rsidRPr="00D927A6" w:rsidRDefault="00625508" w:rsidP="00220587">
            <w:pPr>
              <w:pStyle w:val="ListParagraph"/>
              <w:numPr>
                <w:ilvl w:val="0"/>
                <w:numId w:val="6"/>
              </w:numPr>
              <w:ind w:left="365"/>
              <w:rPr>
                <w:rFonts w:ascii="Times New Roman" w:hAnsi="Times New Roman"/>
                <w:sz w:val="24"/>
                <w:szCs w:val="24"/>
              </w:rPr>
            </w:pPr>
            <w:r>
              <w:rPr>
                <w:rFonts w:ascii="Times New Roman" w:hAnsi="Times New Roman"/>
                <w:sz w:val="24"/>
                <w:szCs w:val="24"/>
              </w:rPr>
              <w:t>the matching contributions meet</w:t>
            </w:r>
            <w:r w:rsidR="00B1781C">
              <w:rPr>
                <w:rFonts w:ascii="Times New Roman" w:hAnsi="Times New Roman"/>
                <w:sz w:val="24"/>
                <w:szCs w:val="24"/>
              </w:rPr>
              <w:t xml:space="preserve"> </w:t>
            </w:r>
            <w:r w:rsidR="00D927A6">
              <w:rPr>
                <w:rFonts w:ascii="Times New Roman" w:hAnsi="Times New Roman"/>
                <w:sz w:val="24"/>
                <w:szCs w:val="24"/>
              </w:rPr>
              <w:t>a</w:t>
            </w:r>
            <w:r w:rsidR="00D927A6" w:rsidRPr="00D927A6">
              <w:rPr>
                <w:rFonts w:ascii="Times New Roman" w:hAnsi="Times New Roman"/>
                <w:sz w:val="24"/>
                <w:szCs w:val="24"/>
              </w:rPr>
              <w:t>ll requirements that apply to the ESG funds provided by HUD</w:t>
            </w:r>
            <w:r w:rsidR="00950B03">
              <w:rPr>
                <w:rFonts w:ascii="Times New Roman" w:hAnsi="Times New Roman"/>
                <w:sz w:val="24"/>
                <w:szCs w:val="24"/>
              </w:rPr>
              <w:t>, except the expenditure limits</w:t>
            </w:r>
            <w:r w:rsidR="00D927A6" w:rsidRPr="00D927A6">
              <w:rPr>
                <w:rFonts w:ascii="Times New Roman" w:hAnsi="Times New Roman"/>
                <w:sz w:val="24"/>
                <w:szCs w:val="24"/>
              </w:rPr>
              <w:t>;</w:t>
            </w:r>
          </w:p>
          <w:p w14:paraId="2C17F8CD" w14:textId="77777777" w:rsidR="00D927A6" w:rsidRPr="00B50B27" w:rsidRDefault="00D927A6" w:rsidP="00220587">
            <w:pPr>
              <w:pStyle w:val="ListParagraph"/>
              <w:numPr>
                <w:ilvl w:val="0"/>
                <w:numId w:val="6"/>
              </w:numPr>
              <w:ind w:left="365"/>
              <w:contextualSpacing w:val="0"/>
              <w:rPr>
                <w:rFonts w:ascii="Times New Roman" w:hAnsi="Times New Roman"/>
                <w:sz w:val="24"/>
                <w:szCs w:val="24"/>
              </w:rPr>
            </w:pPr>
            <w:r>
              <w:rPr>
                <w:rFonts w:ascii="Times New Roman" w:hAnsi="Times New Roman"/>
                <w:sz w:val="24"/>
                <w:szCs w:val="24"/>
              </w:rPr>
              <w:t>t</w:t>
            </w:r>
            <w:r w:rsidRPr="00D927A6">
              <w:rPr>
                <w:rFonts w:ascii="Times New Roman" w:hAnsi="Times New Roman"/>
                <w:sz w:val="24"/>
                <w:szCs w:val="24"/>
              </w:rPr>
              <w:t>he matching contributions were provided after the date that HUD signed the grant agreement</w:t>
            </w:r>
            <w:r w:rsidRPr="00B50B27">
              <w:rPr>
                <w:rFonts w:ascii="Times New Roman" w:hAnsi="Times New Roman"/>
                <w:sz w:val="24"/>
                <w:szCs w:val="24"/>
              </w:rPr>
              <w:t>;</w:t>
            </w:r>
          </w:p>
          <w:p w14:paraId="2EB09542" w14:textId="77777777" w:rsidR="00D927A6" w:rsidRPr="00B50B27" w:rsidRDefault="00D927A6" w:rsidP="00220587">
            <w:pPr>
              <w:pStyle w:val="ListParagraph"/>
              <w:numPr>
                <w:ilvl w:val="0"/>
                <w:numId w:val="6"/>
              </w:numPr>
              <w:ind w:left="365"/>
              <w:contextualSpacing w:val="0"/>
              <w:rPr>
                <w:rFonts w:ascii="Times New Roman" w:hAnsi="Times New Roman"/>
                <w:sz w:val="24"/>
                <w:szCs w:val="24"/>
              </w:rPr>
            </w:pPr>
            <w:r>
              <w:rPr>
                <w:rFonts w:ascii="Times New Roman" w:hAnsi="Times New Roman"/>
                <w:sz w:val="24"/>
                <w:szCs w:val="24"/>
              </w:rPr>
              <w:t>c</w:t>
            </w:r>
            <w:r w:rsidRPr="00B50B27">
              <w:rPr>
                <w:rFonts w:ascii="Times New Roman" w:hAnsi="Times New Roman"/>
                <w:sz w:val="24"/>
                <w:szCs w:val="24"/>
              </w:rPr>
              <w:t>ash contributions were expended with</w:t>
            </w:r>
            <w:r>
              <w:rPr>
                <w:rFonts w:ascii="Times New Roman" w:hAnsi="Times New Roman"/>
                <w:sz w:val="24"/>
                <w:szCs w:val="24"/>
              </w:rPr>
              <w:t xml:space="preserve">in the expenditure deadline </w:t>
            </w:r>
            <w:r w:rsidRPr="00B50B27">
              <w:rPr>
                <w:rFonts w:ascii="Times New Roman" w:hAnsi="Times New Roman"/>
                <w:sz w:val="24"/>
                <w:szCs w:val="24"/>
              </w:rPr>
              <w:t>and noncash contributions were made within the expenditure deadline;</w:t>
            </w:r>
          </w:p>
          <w:p w14:paraId="475AD513" w14:textId="1A05B98C" w:rsidR="00D927A6" w:rsidRPr="00B50B27" w:rsidRDefault="00625508" w:rsidP="00220587">
            <w:pPr>
              <w:pStyle w:val="ListParagraph"/>
              <w:numPr>
                <w:ilvl w:val="0"/>
                <w:numId w:val="6"/>
              </w:numPr>
              <w:ind w:left="365"/>
              <w:contextualSpacing w:val="0"/>
              <w:rPr>
                <w:rFonts w:ascii="Times New Roman" w:hAnsi="Times New Roman"/>
                <w:sz w:val="24"/>
                <w:szCs w:val="24"/>
              </w:rPr>
            </w:pPr>
            <w:r>
              <w:rPr>
                <w:rFonts w:ascii="Times New Roman" w:hAnsi="Times New Roman"/>
                <w:sz w:val="24"/>
                <w:szCs w:val="24"/>
              </w:rPr>
              <w:t xml:space="preserve">the matching </w:t>
            </w:r>
            <w:r w:rsidR="00D927A6">
              <w:rPr>
                <w:rFonts w:ascii="Times New Roman" w:hAnsi="Times New Roman"/>
                <w:sz w:val="24"/>
                <w:szCs w:val="24"/>
              </w:rPr>
              <w:t>c</w:t>
            </w:r>
            <w:r w:rsidR="00D927A6" w:rsidRPr="00B50B27">
              <w:rPr>
                <w:rFonts w:ascii="Times New Roman" w:hAnsi="Times New Roman"/>
                <w:sz w:val="24"/>
                <w:szCs w:val="24"/>
              </w:rPr>
              <w:t xml:space="preserve">ontributions </w:t>
            </w:r>
            <w:r>
              <w:rPr>
                <w:rFonts w:ascii="Times New Roman" w:hAnsi="Times New Roman"/>
                <w:sz w:val="24"/>
                <w:szCs w:val="24"/>
              </w:rPr>
              <w:t xml:space="preserve">were not </w:t>
            </w:r>
            <w:r w:rsidR="00D927A6" w:rsidRPr="00B50B27">
              <w:rPr>
                <w:rFonts w:ascii="Times New Roman" w:hAnsi="Times New Roman"/>
                <w:sz w:val="24"/>
                <w:szCs w:val="24"/>
              </w:rPr>
              <w:t xml:space="preserve">used to match a previous </w:t>
            </w:r>
            <w:r>
              <w:rPr>
                <w:rFonts w:ascii="Times New Roman" w:hAnsi="Times New Roman"/>
                <w:sz w:val="24"/>
                <w:szCs w:val="24"/>
              </w:rPr>
              <w:t xml:space="preserve">or subsequent </w:t>
            </w:r>
            <w:r w:rsidR="00D927A6" w:rsidRPr="00B50B27">
              <w:rPr>
                <w:rFonts w:ascii="Times New Roman" w:hAnsi="Times New Roman"/>
                <w:sz w:val="24"/>
                <w:szCs w:val="24"/>
              </w:rPr>
              <w:t xml:space="preserve">ESG grant; </w:t>
            </w:r>
          </w:p>
          <w:p w14:paraId="02AD1A6A" w14:textId="1832D436" w:rsidR="00D927A6" w:rsidRPr="00B50B27" w:rsidRDefault="00625508" w:rsidP="00220587">
            <w:pPr>
              <w:pStyle w:val="ListParagraph"/>
              <w:numPr>
                <w:ilvl w:val="0"/>
                <w:numId w:val="6"/>
              </w:numPr>
              <w:ind w:left="365"/>
              <w:contextualSpacing w:val="0"/>
              <w:rPr>
                <w:rFonts w:ascii="Times New Roman" w:hAnsi="Times New Roman"/>
                <w:sz w:val="24"/>
                <w:szCs w:val="24"/>
              </w:rPr>
            </w:pPr>
            <w:r>
              <w:rPr>
                <w:rFonts w:ascii="Times New Roman" w:hAnsi="Times New Roman"/>
                <w:sz w:val="24"/>
                <w:szCs w:val="24"/>
              </w:rPr>
              <w:t xml:space="preserve">the matching </w:t>
            </w:r>
            <w:r w:rsidR="00D927A6">
              <w:rPr>
                <w:rFonts w:ascii="Times New Roman" w:hAnsi="Times New Roman"/>
                <w:sz w:val="24"/>
                <w:szCs w:val="24"/>
              </w:rPr>
              <w:t>c</w:t>
            </w:r>
            <w:r w:rsidR="00D927A6" w:rsidRPr="00B50B27">
              <w:rPr>
                <w:rFonts w:ascii="Times New Roman" w:hAnsi="Times New Roman"/>
                <w:sz w:val="24"/>
                <w:szCs w:val="24"/>
              </w:rPr>
              <w:t xml:space="preserve">ontributions </w:t>
            </w:r>
            <w:r>
              <w:rPr>
                <w:rFonts w:ascii="Times New Roman" w:hAnsi="Times New Roman"/>
                <w:sz w:val="24"/>
                <w:szCs w:val="24"/>
              </w:rPr>
              <w:t>were not used to</w:t>
            </w:r>
            <w:r w:rsidR="00D927A6" w:rsidRPr="00B50B27">
              <w:rPr>
                <w:rFonts w:ascii="Times New Roman" w:hAnsi="Times New Roman"/>
                <w:sz w:val="24"/>
                <w:szCs w:val="24"/>
              </w:rPr>
              <w:t xml:space="preserve"> satisfy a matching requirement of another federal grant or award; and</w:t>
            </w:r>
          </w:p>
          <w:p w14:paraId="45DB062F" w14:textId="57FCBC1A" w:rsidR="00D927A6" w:rsidRPr="00B50B27" w:rsidRDefault="00625508" w:rsidP="00220587">
            <w:pPr>
              <w:pStyle w:val="ListParagraph"/>
              <w:numPr>
                <w:ilvl w:val="0"/>
                <w:numId w:val="6"/>
              </w:numPr>
              <w:ind w:left="365"/>
              <w:contextualSpacing w:val="0"/>
              <w:rPr>
                <w:rFonts w:ascii="Times New Roman" w:hAnsi="Times New Roman"/>
                <w:sz w:val="24"/>
                <w:szCs w:val="24"/>
              </w:rPr>
            </w:pPr>
            <w:r>
              <w:rPr>
                <w:rFonts w:ascii="Times New Roman" w:hAnsi="Times New Roman"/>
                <w:sz w:val="24"/>
                <w:szCs w:val="24"/>
              </w:rPr>
              <w:t>if</w:t>
            </w:r>
            <w:r w:rsidR="00D927A6" w:rsidRPr="00B50B27">
              <w:rPr>
                <w:rFonts w:ascii="Times New Roman" w:hAnsi="Times New Roman"/>
                <w:sz w:val="24"/>
                <w:szCs w:val="24"/>
              </w:rPr>
              <w:t xml:space="preserve"> </w:t>
            </w:r>
            <w:r>
              <w:rPr>
                <w:rFonts w:ascii="Times New Roman" w:hAnsi="Times New Roman"/>
                <w:sz w:val="24"/>
                <w:szCs w:val="24"/>
              </w:rPr>
              <w:t xml:space="preserve">the </w:t>
            </w:r>
            <w:r w:rsidR="00D927A6" w:rsidRPr="00B50B27">
              <w:rPr>
                <w:rFonts w:ascii="Times New Roman" w:hAnsi="Times New Roman"/>
                <w:sz w:val="24"/>
                <w:szCs w:val="24"/>
              </w:rPr>
              <w:t xml:space="preserve">matching contributions </w:t>
            </w:r>
            <w:r>
              <w:rPr>
                <w:rFonts w:ascii="Times New Roman" w:hAnsi="Times New Roman"/>
                <w:sz w:val="24"/>
                <w:szCs w:val="24"/>
              </w:rPr>
              <w:t xml:space="preserve">included federal funds, their governing statutes </w:t>
            </w:r>
            <w:r w:rsidR="00D927A6" w:rsidRPr="00B50B27">
              <w:rPr>
                <w:rFonts w:ascii="Times New Roman" w:hAnsi="Times New Roman"/>
                <w:sz w:val="24"/>
                <w:szCs w:val="24"/>
              </w:rPr>
              <w:t xml:space="preserve">do not prohibit </w:t>
            </w:r>
            <w:r>
              <w:rPr>
                <w:rFonts w:ascii="Times New Roman" w:hAnsi="Times New Roman"/>
                <w:sz w:val="24"/>
                <w:szCs w:val="24"/>
              </w:rPr>
              <w:t>them from being used</w:t>
            </w:r>
            <w:r w:rsidR="00D927A6" w:rsidRPr="00B50B27">
              <w:rPr>
                <w:rFonts w:ascii="Times New Roman" w:hAnsi="Times New Roman"/>
                <w:sz w:val="24"/>
                <w:szCs w:val="24"/>
              </w:rPr>
              <w:t xml:space="preserve"> as match for ESG?</w:t>
            </w:r>
          </w:p>
          <w:p w14:paraId="7E892352" w14:textId="28E4A621" w:rsidR="00E20A86" w:rsidRDefault="00D927A6" w:rsidP="00F7484C">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192C6F">
              <w:t>576.201(c)(1)-(5)</w:t>
            </w:r>
            <w:r w:rsidR="002B5507">
              <w:t xml:space="preserve"> (</w:t>
            </w:r>
            <w:r w:rsidR="00F7484C">
              <w:t xml:space="preserve">as in effect before Jan. 6, </w:t>
            </w:r>
            <w:r w:rsidR="002B5507">
              <w:t>201</w:t>
            </w:r>
            <w:r w:rsidR="00F7484C">
              <w:t>6</w:t>
            </w:r>
            <w:r w:rsidR="002B5507">
              <w:t>)</w:t>
            </w:r>
            <w:r w:rsidR="00192C6F">
              <w:t>;</w:t>
            </w:r>
            <w:r w:rsidRPr="00B50B27">
              <w:t xml:space="preserve"> </w:t>
            </w:r>
            <w:r>
              <w:t xml:space="preserve">24 CFR </w:t>
            </w:r>
            <w:r w:rsidRPr="00B50B27">
              <w:t>576.201(b)(2)(i)</w:t>
            </w:r>
            <w:r w:rsidR="002B5507">
              <w:t xml:space="preserve"> (</w:t>
            </w:r>
            <w:r w:rsidR="00F7484C" w:rsidRPr="00F7484C">
              <w:t>as in effect before Jan. 6, 2016</w:t>
            </w:r>
            <w:r w:rsidR="002B5507">
              <w:t>)</w:t>
            </w:r>
            <w:r w:rsidRPr="00B50B2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A86" w14:paraId="773831AA" w14:textId="77777777" w:rsidTr="00367F28">
              <w:trPr>
                <w:trHeight w:val="170"/>
              </w:trPr>
              <w:tc>
                <w:tcPr>
                  <w:tcW w:w="425" w:type="dxa"/>
                </w:tcPr>
                <w:p w14:paraId="6E1D075C"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6AB036F3"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05390317"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E20A86" w14:paraId="2580BB81" w14:textId="77777777" w:rsidTr="00367F28">
              <w:trPr>
                <w:trHeight w:val="225"/>
              </w:trPr>
              <w:tc>
                <w:tcPr>
                  <w:tcW w:w="425" w:type="dxa"/>
                </w:tcPr>
                <w:p w14:paraId="41D63C52"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D4EF7A"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F4056B"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A61157"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E20A86" w14:paraId="19CCBEA9" w14:textId="77777777" w:rsidTr="00367F28">
        <w:trPr>
          <w:cantSplit/>
        </w:trPr>
        <w:tc>
          <w:tcPr>
            <w:tcW w:w="9010" w:type="dxa"/>
            <w:gridSpan w:val="2"/>
            <w:tcBorders>
              <w:bottom w:val="nil"/>
            </w:tcBorders>
          </w:tcPr>
          <w:p w14:paraId="1C19833F"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20A86" w14:paraId="4D648515" w14:textId="77777777" w:rsidTr="00367F28">
        <w:trPr>
          <w:cantSplit/>
        </w:trPr>
        <w:tc>
          <w:tcPr>
            <w:tcW w:w="9010" w:type="dxa"/>
            <w:gridSpan w:val="2"/>
            <w:tcBorders>
              <w:top w:val="nil"/>
            </w:tcBorders>
          </w:tcPr>
          <w:p w14:paraId="6A5DFAB8" w14:textId="77777777" w:rsidR="00E20A86" w:rsidRDefault="00E20A86" w:rsidP="002716D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B2AC4" w14:textId="437493FC" w:rsidR="00776218" w:rsidRDefault="00776218" w:rsidP="002716D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0D1FFD4" w14:textId="77777777" w:rsidR="00776218" w:rsidRDefault="00776218" w:rsidP="00D927A6">
      <w:pPr>
        <w:pStyle w:val="Style1"/>
        <w:numPr>
          <w:ilvl w:val="0"/>
          <w:numId w:val="0"/>
        </w:numPr>
        <w:spacing w:after="0" w:line="240" w:lineRule="auto"/>
        <w:rPr>
          <w:rFonts w:ascii="Times New Roman" w:hAnsi="Times New Roman"/>
          <w:sz w:val="24"/>
          <w:szCs w:val="24"/>
        </w:rPr>
      </w:pPr>
    </w:p>
    <w:p w14:paraId="24525557" w14:textId="7743D868" w:rsidR="000616B5" w:rsidRDefault="00990B4C" w:rsidP="00D927A6">
      <w:pPr>
        <w:pStyle w:val="Style1"/>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6</w:t>
      </w:r>
      <w:r w:rsidR="00E20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A86" w14:paraId="5D5A1DA3" w14:textId="77777777" w:rsidTr="00367F28">
        <w:trPr>
          <w:trHeight w:val="773"/>
        </w:trPr>
        <w:tc>
          <w:tcPr>
            <w:tcW w:w="7385" w:type="dxa"/>
            <w:tcBorders>
              <w:bottom w:val="single" w:sz="4" w:space="0" w:color="auto"/>
            </w:tcBorders>
          </w:tcPr>
          <w:p w14:paraId="05A0B4DD" w14:textId="4324EBFA" w:rsidR="00D92731" w:rsidRPr="00B50B27" w:rsidRDefault="00D61F0C" w:rsidP="00D92731">
            <w:pPr>
              <w:widowControl w:val="0"/>
              <w:tabs>
                <w:tab w:val="left" w:pos="365"/>
                <w:tab w:val="left" w:pos="1440"/>
                <w:tab w:val="left" w:pos="2160"/>
                <w:tab w:val="left" w:pos="2880"/>
                <w:tab w:val="left" w:pos="3600"/>
                <w:tab w:val="center" w:pos="4320"/>
                <w:tab w:val="left" w:pos="5040"/>
                <w:tab w:val="left" w:pos="5760"/>
                <w:tab w:val="left" w:pos="6480"/>
                <w:tab w:val="right" w:pos="8640"/>
              </w:tabs>
            </w:pPr>
            <w:r>
              <w:t xml:space="preserve">Did </w:t>
            </w:r>
            <w:r w:rsidRPr="00B50B27">
              <w:t>match</w:t>
            </w:r>
            <w:r>
              <w:t xml:space="preserve"> contributed </w:t>
            </w:r>
            <w:r w:rsidR="00302070">
              <w:t>before January 6,</w:t>
            </w:r>
            <w:r>
              <w:t xml:space="preserve"> 2016, consist </w:t>
            </w:r>
            <w:r w:rsidR="00E70DEF">
              <w:t xml:space="preserve">only </w:t>
            </w:r>
            <w:r>
              <w:t>of</w:t>
            </w:r>
            <w:r w:rsidR="00D92731" w:rsidRPr="00B50B27">
              <w:t>:</w:t>
            </w:r>
          </w:p>
          <w:p w14:paraId="014735FD" w14:textId="7A7DAA1D" w:rsidR="00D92731" w:rsidRPr="00D92731" w:rsidRDefault="00D92731" w:rsidP="00464B8E">
            <w:pPr>
              <w:pStyle w:val="ListParagraph"/>
              <w:widowControl w:val="0"/>
              <w:numPr>
                <w:ilvl w:val="0"/>
                <w:numId w:val="7"/>
              </w:numPr>
              <w:rPr>
                <w:rFonts w:ascii="Times New Roman" w:hAnsi="Times New Roman"/>
                <w:sz w:val="24"/>
                <w:szCs w:val="24"/>
              </w:rPr>
            </w:pPr>
            <w:r>
              <w:rPr>
                <w:rFonts w:ascii="Times New Roman" w:hAnsi="Times New Roman"/>
                <w:sz w:val="24"/>
                <w:szCs w:val="24"/>
              </w:rPr>
              <w:t>c</w:t>
            </w:r>
            <w:r w:rsidRPr="00D92731">
              <w:rPr>
                <w:rFonts w:ascii="Times New Roman" w:hAnsi="Times New Roman"/>
                <w:sz w:val="24"/>
                <w:szCs w:val="24"/>
              </w:rPr>
              <w:t>ash expended for allowable costs</w:t>
            </w:r>
            <w:r w:rsidR="00464B8E">
              <w:t xml:space="preserve"> (</w:t>
            </w:r>
            <w:r w:rsidR="00464B8E" w:rsidRPr="00464B8E">
              <w:rPr>
                <w:rFonts w:ascii="Times New Roman" w:hAnsi="Times New Roman"/>
                <w:sz w:val="24"/>
                <w:szCs w:val="24"/>
              </w:rPr>
              <w:t xml:space="preserve">as defined in OMB Circulars A-87 (2 CFR part </w:t>
            </w:r>
            <w:r w:rsidR="00464B8E">
              <w:rPr>
                <w:rFonts w:ascii="Times New Roman" w:hAnsi="Times New Roman"/>
                <w:sz w:val="24"/>
                <w:szCs w:val="24"/>
              </w:rPr>
              <w:t xml:space="preserve">225) and A-122 (2 CFR part 230)) </w:t>
            </w:r>
            <w:r w:rsidR="00464B8E" w:rsidRPr="00464B8E">
              <w:rPr>
                <w:rFonts w:ascii="Times New Roman" w:hAnsi="Times New Roman"/>
                <w:sz w:val="24"/>
                <w:szCs w:val="24"/>
              </w:rPr>
              <w:t>of the recipient or subrecipient</w:t>
            </w:r>
            <w:r w:rsidRPr="00D92731">
              <w:rPr>
                <w:rFonts w:ascii="Times New Roman" w:hAnsi="Times New Roman"/>
                <w:sz w:val="24"/>
                <w:szCs w:val="24"/>
              </w:rPr>
              <w:t xml:space="preserve">; </w:t>
            </w:r>
          </w:p>
          <w:p w14:paraId="5E8FA8B9" w14:textId="77777777" w:rsidR="0037220C" w:rsidRDefault="00D92731" w:rsidP="0037220C">
            <w:pPr>
              <w:pStyle w:val="ListParagraph"/>
              <w:widowControl w:val="0"/>
              <w:numPr>
                <w:ilvl w:val="0"/>
                <w:numId w:val="7"/>
              </w:numPr>
              <w:ind w:left="710"/>
              <w:contextualSpacing w:val="0"/>
              <w:rPr>
                <w:rFonts w:ascii="Times New Roman" w:hAnsi="Times New Roman"/>
                <w:sz w:val="24"/>
                <w:szCs w:val="24"/>
              </w:rPr>
            </w:pPr>
            <w:r>
              <w:rPr>
                <w:rFonts w:ascii="Times New Roman" w:hAnsi="Times New Roman"/>
                <w:sz w:val="24"/>
                <w:szCs w:val="24"/>
              </w:rPr>
              <w:t>t</w:t>
            </w:r>
            <w:r w:rsidRPr="00B50B27">
              <w:rPr>
                <w:rFonts w:ascii="Times New Roman" w:hAnsi="Times New Roman"/>
                <w:sz w:val="24"/>
                <w:szCs w:val="24"/>
              </w:rPr>
              <w:t>he value of any real property, equipment, goods, or services</w:t>
            </w:r>
            <w:r w:rsidR="00E70DEF">
              <w:rPr>
                <w:rFonts w:ascii="Times New Roman" w:hAnsi="Times New Roman"/>
                <w:sz w:val="24"/>
                <w:szCs w:val="24"/>
              </w:rPr>
              <w:t xml:space="preserve"> that </w:t>
            </w:r>
          </w:p>
          <w:p w14:paraId="39A9F418" w14:textId="77777777" w:rsidR="005F619F" w:rsidRDefault="00E70DEF" w:rsidP="005F619F">
            <w:pPr>
              <w:pStyle w:val="ListParagraph"/>
              <w:widowControl w:val="0"/>
              <w:ind w:left="1070" w:hanging="360"/>
              <w:contextualSpacing w:val="0"/>
              <w:rPr>
                <w:rFonts w:ascii="Times New Roman" w:hAnsi="Times New Roman"/>
                <w:sz w:val="24"/>
                <w:szCs w:val="24"/>
              </w:rPr>
            </w:pPr>
            <w:r>
              <w:rPr>
                <w:rFonts w:ascii="Times New Roman" w:hAnsi="Times New Roman"/>
                <w:sz w:val="24"/>
                <w:szCs w:val="24"/>
              </w:rPr>
              <w:t>(1) were</w:t>
            </w:r>
            <w:r w:rsidR="00D92731" w:rsidRPr="00B50B27">
              <w:rPr>
                <w:rFonts w:ascii="Times New Roman" w:hAnsi="Times New Roman"/>
                <w:sz w:val="24"/>
                <w:szCs w:val="24"/>
              </w:rPr>
              <w:t xml:space="preserve"> contributed to the recipient’s or subrecipient’s ESG program</w:t>
            </w:r>
            <w:r>
              <w:rPr>
                <w:rFonts w:ascii="Times New Roman" w:hAnsi="Times New Roman"/>
                <w:sz w:val="24"/>
                <w:szCs w:val="24"/>
              </w:rPr>
              <w:t xml:space="preserve"> and </w:t>
            </w:r>
          </w:p>
          <w:p w14:paraId="23EEEB20" w14:textId="50111045" w:rsidR="00D61F0C" w:rsidRDefault="00E70DEF" w:rsidP="005F619F">
            <w:pPr>
              <w:pStyle w:val="ListParagraph"/>
              <w:widowControl w:val="0"/>
              <w:ind w:left="1070" w:hanging="360"/>
              <w:contextualSpacing w:val="0"/>
              <w:rPr>
                <w:rFonts w:ascii="Times New Roman" w:hAnsi="Times New Roman"/>
                <w:sz w:val="24"/>
                <w:szCs w:val="24"/>
              </w:rPr>
            </w:pPr>
            <w:r>
              <w:rPr>
                <w:rFonts w:ascii="Times New Roman" w:hAnsi="Times New Roman"/>
                <w:sz w:val="24"/>
                <w:szCs w:val="24"/>
              </w:rPr>
              <w:t xml:space="preserve">(2) would have been allowable costs if </w:t>
            </w:r>
            <w:r w:rsidR="00A564E2">
              <w:rPr>
                <w:rFonts w:ascii="Times New Roman" w:hAnsi="Times New Roman"/>
                <w:sz w:val="24"/>
                <w:szCs w:val="24"/>
              </w:rPr>
              <w:t>paid for</w:t>
            </w:r>
            <w:r w:rsidR="00CD1F60">
              <w:rPr>
                <w:rFonts w:ascii="Times New Roman" w:hAnsi="Times New Roman"/>
                <w:sz w:val="24"/>
                <w:szCs w:val="24"/>
              </w:rPr>
              <w:t xml:space="preserve"> with ESG funds</w:t>
            </w:r>
            <w:r w:rsidR="00D92731" w:rsidRPr="00B50B27">
              <w:rPr>
                <w:rFonts w:ascii="Times New Roman" w:hAnsi="Times New Roman"/>
                <w:sz w:val="24"/>
                <w:szCs w:val="24"/>
              </w:rPr>
              <w:t xml:space="preserve">; </w:t>
            </w:r>
            <w:r w:rsidR="00A564E2">
              <w:rPr>
                <w:rFonts w:ascii="Times New Roman" w:hAnsi="Times New Roman"/>
                <w:sz w:val="24"/>
                <w:szCs w:val="24"/>
              </w:rPr>
              <w:t>and/</w:t>
            </w:r>
            <w:r w:rsidR="00D92731" w:rsidRPr="00B50B27">
              <w:rPr>
                <w:rFonts w:ascii="Times New Roman" w:hAnsi="Times New Roman"/>
                <w:sz w:val="24"/>
                <w:szCs w:val="24"/>
              </w:rPr>
              <w:t xml:space="preserve">or </w:t>
            </w:r>
          </w:p>
          <w:p w14:paraId="1FBEF7A8" w14:textId="77777777" w:rsidR="00D92731" w:rsidRPr="00B50B27" w:rsidRDefault="00D92731" w:rsidP="0037220C">
            <w:pPr>
              <w:pStyle w:val="ListParagraph"/>
              <w:widowControl w:val="0"/>
              <w:numPr>
                <w:ilvl w:val="0"/>
                <w:numId w:val="7"/>
              </w:numPr>
              <w:ind w:left="710"/>
              <w:contextualSpacing w:val="0"/>
              <w:rPr>
                <w:rFonts w:ascii="Times New Roman" w:hAnsi="Times New Roman"/>
                <w:sz w:val="24"/>
                <w:szCs w:val="24"/>
              </w:rPr>
            </w:pPr>
            <w:r w:rsidRPr="00B50B27">
              <w:rPr>
                <w:rFonts w:ascii="Times New Roman" w:hAnsi="Times New Roman"/>
                <w:sz w:val="24"/>
                <w:szCs w:val="24"/>
              </w:rPr>
              <w:t>the purchase value of any donated building?</w:t>
            </w:r>
          </w:p>
          <w:p w14:paraId="7C2F9C84" w14:textId="31BA57E7" w:rsidR="00E20A86" w:rsidRDefault="00D92731" w:rsidP="00990B4C">
            <w:pPr>
              <w:pStyle w:val="Level1"/>
              <w:widowControl w:val="0"/>
              <w:tabs>
                <w:tab w:val="clear" w:pos="360"/>
                <w:tab w:val="clear" w:pos="4320"/>
                <w:tab w:val="clear" w:pos="8640"/>
                <w:tab w:val="left" w:pos="720"/>
                <w:tab w:val="left" w:pos="1440"/>
                <w:tab w:val="left" w:pos="2160"/>
                <w:tab w:val="left" w:pos="5568"/>
              </w:tabs>
            </w:pPr>
            <w:r>
              <w:t xml:space="preserve">[24 CFR </w:t>
            </w:r>
            <w:r w:rsidRPr="00B50B27">
              <w:t>576.201(d)]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A86" w14:paraId="1CA22243" w14:textId="77777777" w:rsidTr="00367F28">
              <w:trPr>
                <w:trHeight w:val="170"/>
              </w:trPr>
              <w:tc>
                <w:tcPr>
                  <w:tcW w:w="425" w:type="dxa"/>
                </w:tcPr>
                <w:p w14:paraId="49946A27"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5DB93581"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25467FD0"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E20A86" w14:paraId="07D3BF89" w14:textId="77777777" w:rsidTr="00367F28">
              <w:trPr>
                <w:trHeight w:val="225"/>
              </w:trPr>
              <w:tc>
                <w:tcPr>
                  <w:tcW w:w="425" w:type="dxa"/>
                </w:tcPr>
                <w:p w14:paraId="130913B3"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4565B6"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5BCCFD"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679208"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E20A86" w14:paraId="792A79C7" w14:textId="77777777" w:rsidTr="00367F28">
        <w:trPr>
          <w:cantSplit/>
        </w:trPr>
        <w:tc>
          <w:tcPr>
            <w:tcW w:w="9010" w:type="dxa"/>
            <w:gridSpan w:val="2"/>
            <w:tcBorders>
              <w:bottom w:val="nil"/>
            </w:tcBorders>
          </w:tcPr>
          <w:p w14:paraId="652FE329" w14:textId="77777777" w:rsidR="00E20A86" w:rsidRDefault="00E20A86" w:rsidP="00367F2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20A86" w14:paraId="17351F95" w14:textId="77777777" w:rsidTr="00367F28">
        <w:trPr>
          <w:cantSplit/>
        </w:trPr>
        <w:tc>
          <w:tcPr>
            <w:tcW w:w="9010" w:type="dxa"/>
            <w:gridSpan w:val="2"/>
            <w:tcBorders>
              <w:top w:val="nil"/>
            </w:tcBorders>
          </w:tcPr>
          <w:p w14:paraId="0E14ED94" w14:textId="77777777" w:rsidR="00D92731" w:rsidRDefault="00E20A86" w:rsidP="002716D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EB7FC" w14:textId="3E59977A" w:rsidR="00DA1A85" w:rsidRDefault="00DA1A85" w:rsidP="002716D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ECA8E9A" w14:textId="77777777" w:rsidR="00990B4C" w:rsidRDefault="00990B4C" w:rsidP="0037220C">
      <w:pPr>
        <w:spacing w:line="120" w:lineRule="auto"/>
      </w:pPr>
    </w:p>
    <w:p w14:paraId="63071595" w14:textId="2B1E26FD" w:rsidR="000F3B46" w:rsidRDefault="000F3B46" w:rsidP="0037220C">
      <w:pPr>
        <w:ind w:right="-180"/>
      </w:pPr>
      <w:r w:rsidRPr="0037220C">
        <w:rPr>
          <w:b/>
        </w:rPr>
        <w:t>NOTE</w:t>
      </w:r>
      <w:r>
        <w:t xml:space="preserve">: The following questions pertain to </w:t>
      </w:r>
      <w:r w:rsidR="00B368A3">
        <w:t xml:space="preserve">match </w:t>
      </w:r>
      <w:r>
        <w:t xml:space="preserve">contributions made on or after January 6, 2016. </w:t>
      </w:r>
    </w:p>
    <w:p w14:paraId="22A175EA" w14:textId="77777777" w:rsidR="0037220C" w:rsidRDefault="0037220C" w:rsidP="0037220C">
      <w:pPr>
        <w:spacing w:line="120" w:lineRule="auto"/>
      </w:pPr>
    </w:p>
    <w:p w14:paraId="43A345A9" w14:textId="367431A6" w:rsidR="00C5616E" w:rsidRDefault="00C5616E">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368A3" w14:paraId="66B044DA" w14:textId="77777777" w:rsidTr="00430FA8">
        <w:trPr>
          <w:trHeight w:val="773"/>
        </w:trPr>
        <w:tc>
          <w:tcPr>
            <w:tcW w:w="7385" w:type="dxa"/>
            <w:tcBorders>
              <w:bottom w:val="single" w:sz="4" w:space="0" w:color="auto"/>
            </w:tcBorders>
          </w:tcPr>
          <w:p w14:paraId="7F12E9E6" w14:textId="77777777" w:rsidR="00C64A1A" w:rsidRDefault="00B368A3" w:rsidP="00C64A1A">
            <w:pPr>
              <w:pStyle w:val="CommentText"/>
              <w:rPr>
                <w:sz w:val="24"/>
                <w:szCs w:val="24"/>
              </w:rPr>
            </w:pPr>
            <w:r w:rsidRPr="00430FA8">
              <w:rPr>
                <w:sz w:val="24"/>
                <w:szCs w:val="24"/>
              </w:rPr>
              <w:t>Did all match contributed on or after January 6, 2016, including cash and non-cash contributions, meet all of the following criteria:</w:t>
            </w:r>
          </w:p>
          <w:p w14:paraId="5EFBEF4C" w14:textId="303A08BF" w:rsidR="00B368A3" w:rsidRPr="00430FA8" w:rsidRDefault="00B368A3" w:rsidP="007B79E8">
            <w:pPr>
              <w:pStyle w:val="CommentText"/>
              <w:ind w:left="710" w:hanging="360"/>
              <w:rPr>
                <w:sz w:val="24"/>
                <w:szCs w:val="24"/>
              </w:rPr>
            </w:pPr>
            <w:r w:rsidRPr="00B368A3">
              <w:rPr>
                <w:sz w:val="24"/>
                <w:szCs w:val="24"/>
              </w:rPr>
              <w:t>a.</w:t>
            </w:r>
            <w:r>
              <w:rPr>
                <w:sz w:val="24"/>
                <w:szCs w:val="24"/>
              </w:rPr>
              <w:t xml:space="preserve">  </w:t>
            </w:r>
            <w:r w:rsidRPr="00430FA8">
              <w:rPr>
                <w:sz w:val="24"/>
                <w:szCs w:val="24"/>
              </w:rPr>
              <w:t>Are verifiable from recipient's or subrecipient’s records;</w:t>
            </w:r>
          </w:p>
          <w:p w14:paraId="021819F8" w14:textId="77777777" w:rsidR="00B368A3" w:rsidRPr="00430FA8" w:rsidRDefault="00B368A3" w:rsidP="007B79E8">
            <w:pPr>
              <w:pStyle w:val="CommentText"/>
              <w:ind w:left="710" w:hanging="360"/>
              <w:rPr>
                <w:sz w:val="24"/>
                <w:szCs w:val="24"/>
              </w:rPr>
            </w:pPr>
            <w:r w:rsidRPr="00B368A3">
              <w:rPr>
                <w:sz w:val="24"/>
                <w:szCs w:val="24"/>
              </w:rPr>
              <w:t>b.</w:t>
            </w:r>
            <w:r>
              <w:rPr>
                <w:sz w:val="24"/>
                <w:szCs w:val="24"/>
              </w:rPr>
              <w:t xml:space="preserve">  </w:t>
            </w:r>
            <w:r w:rsidRPr="00430FA8">
              <w:rPr>
                <w:sz w:val="24"/>
                <w:szCs w:val="24"/>
              </w:rPr>
              <w:t>Are not included as contributions for any other Federal award;</w:t>
            </w:r>
          </w:p>
          <w:p w14:paraId="71A8ED06" w14:textId="16CD529C" w:rsidR="00B368A3" w:rsidRPr="00430FA8" w:rsidRDefault="00B368A3" w:rsidP="007B79E8">
            <w:pPr>
              <w:pStyle w:val="CommentText"/>
              <w:ind w:left="710" w:hanging="360"/>
              <w:rPr>
                <w:sz w:val="24"/>
                <w:szCs w:val="24"/>
              </w:rPr>
            </w:pPr>
            <w:r w:rsidRPr="00430FA8">
              <w:rPr>
                <w:sz w:val="24"/>
                <w:szCs w:val="24"/>
              </w:rPr>
              <w:t>c.  Are necessary and reasonable for accomplishment of the ESG project</w:t>
            </w:r>
            <w:r w:rsidR="007B79E8">
              <w:rPr>
                <w:sz w:val="24"/>
                <w:szCs w:val="24"/>
              </w:rPr>
              <w:t xml:space="preserve"> </w:t>
            </w:r>
            <w:r w:rsidRPr="00430FA8">
              <w:rPr>
                <w:sz w:val="24"/>
                <w:szCs w:val="24"/>
              </w:rPr>
              <w:t>or program objectives; and</w:t>
            </w:r>
          </w:p>
          <w:p w14:paraId="7899E648" w14:textId="77777777" w:rsidR="00B368A3" w:rsidRPr="00430FA8" w:rsidRDefault="00B368A3" w:rsidP="007B79E8">
            <w:pPr>
              <w:pStyle w:val="CommentText"/>
              <w:ind w:left="710" w:hanging="360"/>
              <w:rPr>
                <w:sz w:val="24"/>
                <w:szCs w:val="24"/>
              </w:rPr>
            </w:pPr>
            <w:r>
              <w:rPr>
                <w:sz w:val="24"/>
                <w:szCs w:val="24"/>
              </w:rPr>
              <w:t xml:space="preserve">d.  </w:t>
            </w:r>
            <w:r w:rsidRPr="00430FA8">
              <w:rPr>
                <w:sz w:val="24"/>
                <w:szCs w:val="24"/>
              </w:rPr>
              <w:t>Are allowable under 2 CFR Part 200, Subpart E—Cost Principles?</w:t>
            </w:r>
          </w:p>
          <w:p w14:paraId="61B271F2" w14:textId="77777777" w:rsidR="00B368A3" w:rsidRPr="00430FA8" w:rsidRDefault="00B368A3" w:rsidP="005F619F">
            <w:pPr>
              <w:pStyle w:val="CommentText"/>
              <w:ind w:left="350"/>
              <w:rPr>
                <w:sz w:val="24"/>
                <w:szCs w:val="24"/>
              </w:rPr>
            </w:pPr>
            <w:r w:rsidRPr="005F619F">
              <w:rPr>
                <w:b/>
                <w:sz w:val="24"/>
                <w:szCs w:val="24"/>
              </w:rPr>
              <w:t>NOTE</w:t>
            </w:r>
            <w:r w:rsidRPr="00430FA8">
              <w:rPr>
                <w:sz w:val="24"/>
                <w:szCs w:val="24"/>
              </w:rPr>
              <w:t>: ESG matching contributions are not subject to the expenditure limits in §576.100.  Also, funds from another Federal program may be counted as match for ESG, unless doing so would violate a specific statutory prohibition or ESG funds are counted as match for that program.</w:t>
            </w:r>
          </w:p>
          <w:p w14:paraId="0C12AF08"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576.201(b) (as in effect on Jan. 6, 2016); 2 CFR 200.306(b)]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368A3" w14:paraId="2FB1CD69" w14:textId="77777777" w:rsidTr="00430FA8">
              <w:trPr>
                <w:trHeight w:val="170"/>
              </w:trPr>
              <w:tc>
                <w:tcPr>
                  <w:tcW w:w="425" w:type="dxa"/>
                </w:tcPr>
                <w:p w14:paraId="43D18C30"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58FBF5D0"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55120760"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B368A3" w14:paraId="09F2EC26" w14:textId="77777777" w:rsidTr="00430FA8">
              <w:trPr>
                <w:trHeight w:val="225"/>
              </w:trPr>
              <w:tc>
                <w:tcPr>
                  <w:tcW w:w="425" w:type="dxa"/>
                </w:tcPr>
                <w:p w14:paraId="5321FF53"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4CE63F"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29E995"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5A1A50"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368A3" w14:paraId="408EFF26" w14:textId="77777777" w:rsidTr="00430FA8">
        <w:trPr>
          <w:cantSplit/>
          <w:trHeight w:val="323"/>
        </w:trPr>
        <w:tc>
          <w:tcPr>
            <w:tcW w:w="9010" w:type="dxa"/>
            <w:gridSpan w:val="2"/>
            <w:tcBorders>
              <w:bottom w:val="nil"/>
            </w:tcBorders>
          </w:tcPr>
          <w:p w14:paraId="134E5E94"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368A3" w14:paraId="6BE84E76" w14:textId="77777777" w:rsidTr="00430FA8">
        <w:trPr>
          <w:cantSplit/>
        </w:trPr>
        <w:tc>
          <w:tcPr>
            <w:tcW w:w="9010" w:type="dxa"/>
            <w:gridSpan w:val="2"/>
            <w:tcBorders>
              <w:top w:val="nil"/>
            </w:tcBorders>
          </w:tcPr>
          <w:p w14:paraId="7DDFBFF4" w14:textId="77777777" w:rsidR="00B368A3" w:rsidRDefault="00B368A3"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88F9E9" w14:textId="10C20252" w:rsidR="00DA1A85" w:rsidRDefault="00DA1A85"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B4EA41E" w14:textId="48E94968" w:rsidR="00B368A3" w:rsidRDefault="00354D44">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54D44" w14:paraId="5852EDCF" w14:textId="77777777" w:rsidTr="00430FA8">
        <w:trPr>
          <w:trHeight w:val="773"/>
        </w:trPr>
        <w:tc>
          <w:tcPr>
            <w:tcW w:w="7385" w:type="dxa"/>
            <w:tcBorders>
              <w:bottom w:val="single" w:sz="4" w:space="0" w:color="auto"/>
            </w:tcBorders>
          </w:tcPr>
          <w:p w14:paraId="38B20422" w14:textId="77777777" w:rsidR="00354D44" w:rsidRPr="00430FA8" w:rsidRDefault="00354D44" w:rsidP="00430FA8">
            <w:pPr>
              <w:pStyle w:val="CommentText"/>
              <w:rPr>
                <w:sz w:val="24"/>
                <w:szCs w:val="24"/>
              </w:rPr>
            </w:pPr>
            <w:r w:rsidRPr="00430FA8">
              <w:rPr>
                <w:sz w:val="24"/>
                <w:szCs w:val="24"/>
              </w:rPr>
              <w:t>If unrecovered indirect costs (i.e., the difference between the amount charged to the HUD award and the amount which could have been charged to the HUD award under the recipient’s approved negotiated indirect cost rate) were included as a matching contribution on or after January 6, 2016, did the recipient receive prior HUD approval of that inclusion?</w:t>
            </w:r>
          </w:p>
          <w:p w14:paraId="03B7A016" w14:textId="3CD6605B" w:rsidR="00354D44" w:rsidRPr="00416775" w:rsidRDefault="00354D44" w:rsidP="00DA1A85">
            <w:pPr>
              <w:pStyle w:val="CommentText"/>
              <w:rPr>
                <w:sz w:val="24"/>
                <w:szCs w:val="24"/>
              </w:rPr>
            </w:pPr>
            <w:r w:rsidRPr="00416775">
              <w:rPr>
                <w:sz w:val="24"/>
                <w:szCs w:val="24"/>
              </w:rPr>
              <w:t>[24 CFR 576.201(b) (as in effect on Jan. 6, 2016); 2 CFR 200.306(c)]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4D44" w14:paraId="1C577BBF" w14:textId="77777777" w:rsidTr="00430FA8">
              <w:trPr>
                <w:trHeight w:val="170"/>
              </w:trPr>
              <w:tc>
                <w:tcPr>
                  <w:tcW w:w="425" w:type="dxa"/>
                </w:tcPr>
                <w:p w14:paraId="368514AE"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2A7722E4"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378249D7"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354D44" w14:paraId="22C08553" w14:textId="77777777" w:rsidTr="00430FA8">
              <w:trPr>
                <w:trHeight w:val="225"/>
              </w:trPr>
              <w:tc>
                <w:tcPr>
                  <w:tcW w:w="425" w:type="dxa"/>
                </w:tcPr>
                <w:p w14:paraId="63332288"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C09492"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1084B8"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C78C01"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354D44" w14:paraId="64E50A02" w14:textId="77777777" w:rsidTr="00430FA8">
        <w:trPr>
          <w:cantSplit/>
          <w:trHeight w:val="323"/>
        </w:trPr>
        <w:tc>
          <w:tcPr>
            <w:tcW w:w="9010" w:type="dxa"/>
            <w:gridSpan w:val="2"/>
            <w:tcBorders>
              <w:bottom w:val="nil"/>
            </w:tcBorders>
          </w:tcPr>
          <w:p w14:paraId="007A0A2D"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54D44" w14:paraId="59FA76E4" w14:textId="77777777" w:rsidTr="00430FA8">
        <w:trPr>
          <w:cantSplit/>
        </w:trPr>
        <w:tc>
          <w:tcPr>
            <w:tcW w:w="9010" w:type="dxa"/>
            <w:gridSpan w:val="2"/>
            <w:tcBorders>
              <w:top w:val="nil"/>
            </w:tcBorders>
          </w:tcPr>
          <w:p w14:paraId="09C68552"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B7385F" w14:textId="78CA73B9" w:rsidR="00DA1A85" w:rsidRDefault="00DA1A85"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B56C614" w14:textId="77777777" w:rsidR="00416775" w:rsidRDefault="00416775"/>
    <w:p w14:paraId="78AFF59F" w14:textId="5D21F8E8" w:rsidR="00354D44" w:rsidRDefault="00354D44">
      <w:r>
        <w:lastRenderedPageBreak/>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54D44" w14:paraId="2D0217C7" w14:textId="77777777" w:rsidTr="00430FA8">
        <w:trPr>
          <w:trHeight w:val="773"/>
        </w:trPr>
        <w:tc>
          <w:tcPr>
            <w:tcW w:w="7385" w:type="dxa"/>
            <w:tcBorders>
              <w:bottom w:val="single" w:sz="4" w:space="0" w:color="auto"/>
            </w:tcBorders>
          </w:tcPr>
          <w:p w14:paraId="22928EF7" w14:textId="77777777" w:rsidR="00354D44" w:rsidRPr="00430FA8" w:rsidRDefault="00354D44" w:rsidP="00430FA8">
            <w:pPr>
              <w:pStyle w:val="CommentText"/>
              <w:rPr>
                <w:sz w:val="24"/>
                <w:szCs w:val="24"/>
              </w:rPr>
            </w:pPr>
            <w:r w:rsidRPr="00430FA8">
              <w:rPr>
                <w:sz w:val="24"/>
                <w:szCs w:val="24"/>
              </w:rPr>
              <w:t>Were non-cash contributions made on or after January 6, 2016, valued in accordance with the requirements at 2 CFR 200.306(d) through (j) and 24 CFR 576.201(c)?</w:t>
            </w:r>
          </w:p>
          <w:p w14:paraId="2A633754"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t>[2 CFR 200.306(d)-(j); 24 CFR 576.201(c) (as in effect on Jan. 6, 2016)]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4D44" w14:paraId="4DFBA1CC" w14:textId="77777777" w:rsidTr="00430FA8">
              <w:trPr>
                <w:trHeight w:val="170"/>
              </w:trPr>
              <w:tc>
                <w:tcPr>
                  <w:tcW w:w="425" w:type="dxa"/>
                </w:tcPr>
                <w:p w14:paraId="3B4E5B9F"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481DAEE4"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35CB2949"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354D44" w14:paraId="18243706" w14:textId="77777777" w:rsidTr="00430FA8">
              <w:trPr>
                <w:trHeight w:val="225"/>
              </w:trPr>
              <w:tc>
                <w:tcPr>
                  <w:tcW w:w="425" w:type="dxa"/>
                </w:tcPr>
                <w:p w14:paraId="497AE580"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AC349E7"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F6D3B3"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5F8F1D"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354D44" w14:paraId="55D12207" w14:textId="77777777" w:rsidTr="00430FA8">
        <w:trPr>
          <w:cantSplit/>
          <w:trHeight w:val="323"/>
        </w:trPr>
        <w:tc>
          <w:tcPr>
            <w:tcW w:w="9010" w:type="dxa"/>
            <w:gridSpan w:val="2"/>
            <w:tcBorders>
              <w:bottom w:val="nil"/>
            </w:tcBorders>
          </w:tcPr>
          <w:p w14:paraId="4456ED0F" w14:textId="77777777"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54D44" w14:paraId="1B43940B" w14:textId="77777777" w:rsidTr="00430FA8">
        <w:trPr>
          <w:cantSplit/>
        </w:trPr>
        <w:tc>
          <w:tcPr>
            <w:tcW w:w="9010" w:type="dxa"/>
            <w:gridSpan w:val="2"/>
            <w:tcBorders>
              <w:top w:val="nil"/>
            </w:tcBorders>
          </w:tcPr>
          <w:p w14:paraId="11DB0B0C" w14:textId="72F13E15" w:rsidR="00354D44" w:rsidRDefault="00354D44" w:rsidP="00430FA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FAE94A" w14:textId="0A9324D2" w:rsidR="00B368A3" w:rsidRDefault="00354D44">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5616E" w14:paraId="0764F45A" w14:textId="77777777" w:rsidTr="00BB7898">
        <w:trPr>
          <w:trHeight w:val="773"/>
        </w:trPr>
        <w:tc>
          <w:tcPr>
            <w:tcW w:w="7385" w:type="dxa"/>
            <w:tcBorders>
              <w:bottom w:val="single" w:sz="4" w:space="0" w:color="auto"/>
            </w:tcBorders>
          </w:tcPr>
          <w:p w14:paraId="3FD6A1F0" w14:textId="37C3F6E3" w:rsidR="005E1B2B" w:rsidRPr="00990B4C" w:rsidRDefault="00C5616E" w:rsidP="00064F34">
            <w:pPr>
              <w:widowControl w:val="0"/>
              <w:tabs>
                <w:tab w:val="right" w:pos="8640"/>
              </w:tabs>
            </w:pPr>
            <w:r w:rsidRPr="00B50B27">
              <w:t xml:space="preserve">If the </w:t>
            </w:r>
            <w:r>
              <w:t>building</w:t>
            </w:r>
            <w:r w:rsidRPr="00B50B27">
              <w:t xml:space="preserve"> </w:t>
            </w:r>
            <w:r w:rsidR="00372700">
              <w:t xml:space="preserve">was donated by </w:t>
            </w:r>
            <w:r>
              <w:t xml:space="preserve">the recipient or </w:t>
            </w:r>
            <w:r w:rsidR="00372700">
              <w:t xml:space="preserve">its </w:t>
            </w:r>
            <w:r>
              <w:t>subrecipient</w:t>
            </w:r>
            <w:r w:rsidR="005E1B2B">
              <w:t>,</w:t>
            </w:r>
            <w:r>
              <w:t xml:space="preserve"> </w:t>
            </w:r>
            <w:r w:rsidR="0051160C">
              <w:t xml:space="preserve">did the recipient </w:t>
            </w:r>
            <w:r w:rsidR="001621CC" w:rsidRPr="00990B4C">
              <w:t>ensure that</w:t>
            </w:r>
            <w:r w:rsidR="005E1B2B" w:rsidRPr="00990B4C">
              <w:t>:</w:t>
            </w:r>
            <w:r w:rsidR="001621CC" w:rsidRPr="00990B4C">
              <w:t xml:space="preserve"> </w:t>
            </w:r>
          </w:p>
          <w:p w14:paraId="56CF5511" w14:textId="18E9D50E" w:rsidR="005E1B2B" w:rsidRPr="00990B4C" w:rsidRDefault="001621CC" w:rsidP="00990B4C">
            <w:pPr>
              <w:pStyle w:val="ListParagraph"/>
              <w:widowControl w:val="0"/>
              <w:numPr>
                <w:ilvl w:val="0"/>
                <w:numId w:val="14"/>
              </w:numPr>
              <w:tabs>
                <w:tab w:val="right" w:pos="8640"/>
              </w:tabs>
              <w:rPr>
                <w:rFonts w:ascii="Times New Roman" w:hAnsi="Times New Roman"/>
                <w:sz w:val="24"/>
                <w:szCs w:val="24"/>
              </w:rPr>
            </w:pPr>
            <w:r w:rsidRPr="00990B4C">
              <w:rPr>
                <w:rFonts w:ascii="Times New Roman" w:hAnsi="Times New Roman"/>
                <w:sz w:val="24"/>
                <w:szCs w:val="24"/>
              </w:rPr>
              <w:t xml:space="preserve">the value </w:t>
            </w:r>
            <w:r w:rsidR="00372700">
              <w:rPr>
                <w:rFonts w:ascii="Times New Roman" w:hAnsi="Times New Roman"/>
                <w:sz w:val="24"/>
                <w:szCs w:val="24"/>
              </w:rPr>
              <w:t xml:space="preserve">of the match </w:t>
            </w:r>
            <w:r w:rsidRPr="00990B4C">
              <w:rPr>
                <w:rFonts w:ascii="Times New Roman" w:hAnsi="Times New Roman"/>
                <w:sz w:val="24"/>
                <w:szCs w:val="24"/>
              </w:rPr>
              <w:t>was determined as specified in 2 CFR 200.306(d) and (i)</w:t>
            </w:r>
            <w:r w:rsidR="005E1B2B" w:rsidRPr="00990B4C">
              <w:rPr>
                <w:rFonts w:ascii="Times New Roman" w:hAnsi="Times New Roman"/>
                <w:sz w:val="24"/>
                <w:szCs w:val="24"/>
              </w:rPr>
              <w:t>(1);</w:t>
            </w:r>
          </w:p>
          <w:p w14:paraId="75FFF5DD" w14:textId="6A7EFF1C" w:rsidR="005E1B2B" w:rsidRPr="00990B4C" w:rsidRDefault="001621CC" w:rsidP="00990B4C">
            <w:pPr>
              <w:pStyle w:val="ListParagraph"/>
              <w:widowControl w:val="0"/>
              <w:numPr>
                <w:ilvl w:val="0"/>
                <w:numId w:val="14"/>
              </w:numPr>
              <w:tabs>
                <w:tab w:val="right" w:pos="8640"/>
              </w:tabs>
              <w:rPr>
                <w:rFonts w:ascii="Times New Roman" w:hAnsi="Times New Roman"/>
                <w:sz w:val="24"/>
                <w:szCs w:val="24"/>
              </w:rPr>
            </w:pPr>
            <w:r w:rsidRPr="00990B4C">
              <w:rPr>
                <w:rFonts w:ascii="Times New Roman" w:hAnsi="Times New Roman"/>
                <w:sz w:val="24"/>
                <w:szCs w:val="24"/>
              </w:rPr>
              <w:t xml:space="preserve">depreciation on the building </w:t>
            </w:r>
            <w:r w:rsidR="005E1B2B" w:rsidRPr="00990B4C">
              <w:rPr>
                <w:rFonts w:ascii="Times New Roman" w:hAnsi="Times New Roman"/>
                <w:sz w:val="24"/>
                <w:szCs w:val="24"/>
              </w:rPr>
              <w:t xml:space="preserve">was </w:t>
            </w:r>
            <w:r w:rsidR="001F676F" w:rsidRPr="00990B4C">
              <w:rPr>
                <w:rFonts w:ascii="Times New Roman" w:hAnsi="Times New Roman"/>
                <w:sz w:val="24"/>
                <w:szCs w:val="24"/>
              </w:rPr>
              <w:t xml:space="preserve">not </w:t>
            </w:r>
            <w:r w:rsidR="005E1B2B" w:rsidRPr="00990B4C">
              <w:rPr>
                <w:rFonts w:ascii="Times New Roman" w:hAnsi="Times New Roman"/>
                <w:sz w:val="24"/>
                <w:szCs w:val="24"/>
              </w:rPr>
              <w:t xml:space="preserve">counted and will not be </w:t>
            </w:r>
            <w:r w:rsidRPr="00990B4C">
              <w:rPr>
                <w:rFonts w:ascii="Times New Roman" w:hAnsi="Times New Roman"/>
                <w:sz w:val="24"/>
                <w:szCs w:val="24"/>
              </w:rPr>
              <w:t xml:space="preserve">counted as match </w:t>
            </w:r>
            <w:r w:rsidR="005E1B2B" w:rsidRPr="00990B4C">
              <w:rPr>
                <w:rFonts w:ascii="Times New Roman" w:hAnsi="Times New Roman"/>
                <w:sz w:val="24"/>
                <w:szCs w:val="24"/>
              </w:rPr>
              <w:t>or charged to any Federal award;</w:t>
            </w:r>
            <w:r w:rsidRPr="00990B4C">
              <w:rPr>
                <w:rFonts w:ascii="Times New Roman" w:hAnsi="Times New Roman"/>
                <w:sz w:val="24"/>
                <w:szCs w:val="24"/>
              </w:rPr>
              <w:t xml:space="preserve"> and </w:t>
            </w:r>
          </w:p>
          <w:p w14:paraId="69B44EDE" w14:textId="7472DFC8" w:rsidR="00C5616E" w:rsidRPr="00990B4C" w:rsidRDefault="001621CC" w:rsidP="00990B4C">
            <w:pPr>
              <w:pStyle w:val="ListParagraph"/>
              <w:widowControl w:val="0"/>
              <w:numPr>
                <w:ilvl w:val="0"/>
                <w:numId w:val="14"/>
              </w:numPr>
              <w:tabs>
                <w:tab w:val="right" w:pos="8640"/>
              </w:tabs>
              <w:rPr>
                <w:rFonts w:ascii="Times New Roman" w:hAnsi="Times New Roman"/>
                <w:sz w:val="24"/>
                <w:szCs w:val="24"/>
              </w:rPr>
            </w:pPr>
            <w:r w:rsidRPr="00990B4C">
              <w:rPr>
                <w:rFonts w:ascii="Times New Roman" w:hAnsi="Times New Roman"/>
                <w:sz w:val="24"/>
                <w:szCs w:val="24"/>
              </w:rPr>
              <w:t>the building was donated for long-term use in the recipient’s ESG program, as evidenced</w:t>
            </w:r>
            <w:r w:rsidRPr="00990B4C">
              <w:rPr>
                <w:rFonts w:ascii="Times New Roman" w:hAnsi="Times New Roman"/>
                <w:b/>
                <w:sz w:val="24"/>
                <w:szCs w:val="24"/>
              </w:rPr>
              <w:t xml:space="preserve"> </w:t>
            </w:r>
            <w:r w:rsidR="000F3B46" w:rsidRPr="00990B4C">
              <w:rPr>
                <w:rFonts w:ascii="Times New Roman" w:hAnsi="Times New Roman"/>
                <w:sz w:val="24"/>
                <w:szCs w:val="24"/>
              </w:rPr>
              <w:t>by a recorded deed or use restriction that is effective for at least 10 years after the donation date</w:t>
            </w:r>
            <w:r w:rsidR="00C5616E" w:rsidRPr="00990B4C">
              <w:rPr>
                <w:rFonts w:ascii="Times New Roman" w:hAnsi="Times New Roman"/>
                <w:sz w:val="24"/>
                <w:szCs w:val="24"/>
              </w:rPr>
              <w:t>?</w:t>
            </w:r>
          </w:p>
          <w:p w14:paraId="454278C2" w14:textId="73E3328F"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0051160C">
              <w:t>576.201(c</w:t>
            </w:r>
            <w:r w:rsidRPr="00B50B27">
              <w:t>)</w:t>
            </w:r>
            <w:r w:rsidR="0051160C">
              <w:t xml:space="preserve"> (</w:t>
            </w:r>
            <w:r w:rsidR="00B857CD" w:rsidRPr="00B857CD">
              <w:t>as in effect on Jan. 6, 2016</w:t>
            </w:r>
            <w:r w:rsidR="0051160C">
              <w:t>)</w:t>
            </w:r>
            <w:r w:rsidR="001621CC">
              <w:t>; 2 CFR 200.306(d)</w:t>
            </w:r>
            <w:r w:rsidRPr="00B50B2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5616E" w14:paraId="6863A7C7" w14:textId="77777777" w:rsidTr="00BB7898">
              <w:trPr>
                <w:trHeight w:val="170"/>
              </w:trPr>
              <w:tc>
                <w:tcPr>
                  <w:tcW w:w="425" w:type="dxa"/>
                </w:tcPr>
                <w:p w14:paraId="221F89B6"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2EF2DFCA"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3680059A"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C5616E" w14:paraId="1E43A997" w14:textId="77777777" w:rsidTr="00BB7898">
              <w:trPr>
                <w:trHeight w:val="225"/>
              </w:trPr>
              <w:tc>
                <w:tcPr>
                  <w:tcW w:w="425" w:type="dxa"/>
                </w:tcPr>
                <w:p w14:paraId="52287E65"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85C141"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53CF48"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CDD4AF"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5616E" w14:paraId="37D99C45" w14:textId="77777777" w:rsidTr="00BB7898">
        <w:trPr>
          <w:cantSplit/>
          <w:trHeight w:val="323"/>
        </w:trPr>
        <w:tc>
          <w:tcPr>
            <w:tcW w:w="9010" w:type="dxa"/>
            <w:gridSpan w:val="2"/>
            <w:tcBorders>
              <w:bottom w:val="nil"/>
            </w:tcBorders>
          </w:tcPr>
          <w:p w14:paraId="46FECBB4" w14:textId="77777777"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5616E" w14:paraId="27DB2950" w14:textId="77777777" w:rsidTr="00BB7898">
        <w:trPr>
          <w:cantSplit/>
        </w:trPr>
        <w:tc>
          <w:tcPr>
            <w:tcW w:w="9010" w:type="dxa"/>
            <w:gridSpan w:val="2"/>
            <w:tcBorders>
              <w:top w:val="nil"/>
            </w:tcBorders>
          </w:tcPr>
          <w:p w14:paraId="6C3E29EC" w14:textId="2053AA82" w:rsidR="00C5616E" w:rsidRDefault="00C5616E" w:rsidP="00BB789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06418A" w14:textId="15F1C834" w:rsidR="00B368A3" w:rsidRPr="00B50B27" w:rsidRDefault="00354D44">
      <w: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160C" w14:paraId="437A0C0D" w14:textId="77777777" w:rsidTr="00BB7898">
        <w:trPr>
          <w:trHeight w:val="773"/>
        </w:trPr>
        <w:tc>
          <w:tcPr>
            <w:tcW w:w="7385" w:type="dxa"/>
            <w:tcBorders>
              <w:bottom w:val="single" w:sz="4" w:space="0" w:color="auto"/>
            </w:tcBorders>
          </w:tcPr>
          <w:p w14:paraId="6C5915FA" w14:textId="2BA18C83" w:rsidR="005E1B2B" w:rsidRDefault="0051160C" w:rsidP="00BB7898">
            <w:pPr>
              <w:widowControl w:val="0"/>
              <w:tabs>
                <w:tab w:val="right" w:pos="8640"/>
              </w:tabs>
            </w:pPr>
            <w:r w:rsidRPr="00B50B27">
              <w:t xml:space="preserve">If the </w:t>
            </w:r>
            <w:r w:rsidR="00372700">
              <w:t>building was donated by a third party</w:t>
            </w:r>
            <w:r w:rsidR="005E1B2B">
              <w:t>, did the recipient ensure that:</w:t>
            </w:r>
          </w:p>
          <w:p w14:paraId="06984F52" w14:textId="326EC675" w:rsidR="00372700" w:rsidRPr="009C6101" w:rsidRDefault="005E1B2B" w:rsidP="00990B4C">
            <w:pPr>
              <w:pStyle w:val="ListParagraph"/>
              <w:widowControl w:val="0"/>
              <w:numPr>
                <w:ilvl w:val="0"/>
                <w:numId w:val="13"/>
              </w:numPr>
              <w:tabs>
                <w:tab w:val="right" w:pos="8640"/>
              </w:tabs>
            </w:pPr>
            <w:r w:rsidRPr="00990B4C">
              <w:rPr>
                <w:rFonts w:ascii="Times New Roman" w:hAnsi="Times New Roman"/>
                <w:sz w:val="24"/>
                <w:szCs w:val="24"/>
              </w:rPr>
              <w:t xml:space="preserve">The </w:t>
            </w:r>
            <w:r w:rsidR="00372700" w:rsidRPr="00990B4C">
              <w:rPr>
                <w:rFonts w:ascii="Times New Roman" w:hAnsi="Times New Roman"/>
                <w:sz w:val="24"/>
                <w:szCs w:val="24"/>
              </w:rPr>
              <w:t>recipient counts as match only the</w:t>
            </w:r>
            <w:r w:rsidRPr="00990B4C">
              <w:rPr>
                <w:rFonts w:ascii="Times New Roman" w:hAnsi="Times New Roman"/>
                <w:sz w:val="24"/>
                <w:szCs w:val="24"/>
              </w:rPr>
              <w:t xml:space="preserve"> depreciation of the building and fair rental charges for the land for each year the building is used for the recipient's ESG program or, if the building was donated for long-term use in the recipient's ESG program, the fair market value of the capital assets, as specified in 2 CFR 200.306(h)(2), (i), and (j)</w:t>
            </w:r>
            <w:r w:rsidR="00372700" w:rsidRPr="00990B4C">
              <w:rPr>
                <w:rFonts w:ascii="Times New Roman" w:hAnsi="Times New Roman"/>
                <w:sz w:val="24"/>
                <w:szCs w:val="24"/>
              </w:rPr>
              <w:t xml:space="preserve">; and </w:t>
            </w:r>
          </w:p>
          <w:p w14:paraId="5068B493" w14:textId="6F985960" w:rsidR="0051160C" w:rsidRPr="009C6101" w:rsidRDefault="005E1B2B" w:rsidP="00990B4C">
            <w:pPr>
              <w:pStyle w:val="ListParagraph"/>
              <w:widowControl w:val="0"/>
              <w:numPr>
                <w:ilvl w:val="0"/>
                <w:numId w:val="13"/>
              </w:numPr>
              <w:tabs>
                <w:tab w:val="right" w:pos="8640"/>
              </w:tabs>
            </w:pPr>
            <w:r w:rsidRPr="00990B4C">
              <w:rPr>
                <w:rFonts w:ascii="Times New Roman" w:hAnsi="Times New Roman"/>
                <w:sz w:val="24"/>
                <w:szCs w:val="24"/>
              </w:rPr>
              <w:t xml:space="preserve">If the building was donated for long-term use in the recipient’s ESG program, </w:t>
            </w:r>
            <w:r w:rsidR="00052ED6" w:rsidRPr="00990B4C">
              <w:rPr>
                <w:rFonts w:ascii="Times New Roman" w:hAnsi="Times New Roman"/>
                <w:sz w:val="24"/>
                <w:szCs w:val="24"/>
              </w:rPr>
              <w:t xml:space="preserve">the donation </w:t>
            </w:r>
            <w:r w:rsidR="00372700" w:rsidRPr="00990B4C">
              <w:rPr>
                <w:rFonts w:ascii="Times New Roman" w:hAnsi="Times New Roman"/>
                <w:sz w:val="24"/>
                <w:szCs w:val="24"/>
              </w:rPr>
              <w:t xml:space="preserve">was </w:t>
            </w:r>
            <w:r w:rsidR="00052ED6" w:rsidRPr="00990B4C">
              <w:rPr>
                <w:rFonts w:ascii="Times New Roman" w:hAnsi="Times New Roman"/>
                <w:sz w:val="24"/>
                <w:szCs w:val="24"/>
              </w:rPr>
              <w:t xml:space="preserve">evidenced by a </w:t>
            </w:r>
            <w:r w:rsidR="00781F9A" w:rsidRPr="00990B4C">
              <w:rPr>
                <w:rFonts w:ascii="Times New Roman" w:hAnsi="Times New Roman"/>
                <w:sz w:val="24"/>
                <w:szCs w:val="24"/>
              </w:rPr>
              <w:t>recorded deed or use restriction that is effective for at least 10 years after the donation date?</w:t>
            </w:r>
            <w:r w:rsidR="00052ED6" w:rsidRPr="00990B4C">
              <w:rPr>
                <w:rFonts w:ascii="Times New Roman" w:hAnsi="Times New Roman"/>
                <w:sz w:val="24"/>
                <w:szCs w:val="24"/>
              </w:rPr>
              <w:t xml:space="preserve"> </w:t>
            </w:r>
          </w:p>
          <w:p w14:paraId="5BE44ED5" w14:textId="42A9A545"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576.201(c</w:t>
            </w:r>
            <w:r w:rsidRPr="00B50B27">
              <w:t>)</w:t>
            </w:r>
            <w:r>
              <w:t xml:space="preserve"> (</w:t>
            </w:r>
            <w:r w:rsidR="00B857CD" w:rsidRPr="00B857CD">
              <w:t>as in effect on Jan. 6, 2016</w:t>
            </w:r>
            <w:r>
              <w:t>)</w:t>
            </w:r>
            <w:r w:rsidRPr="00B50B2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160C" w14:paraId="64B8778B" w14:textId="77777777" w:rsidTr="00BB7898">
              <w:trPr>
                <w:trHeight w:val="170"/>
              </w:trPr>
              <w:tc>
                <w:tcPr>
                  <w:tcW w:w="425" w:type="dxa"/>
                </w:tcPr>
                <w:p w14:paraId="60B11CA4"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576" w:type="dxa"/>
                </w:tcPr>
                <w:p w14:paraId="05A4A290"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50A8">
                    <w:fldChar w:fldCharType="separate"/>
                  </w:r>
                  <w:r>
                    <w:fldChar w:fldCharType="end"/>
                  </w:r>
                </w:p>
              </w:tc>
              <w:tc>
                <w:tcPr>
                  <w:tcW w:w="606" w:type="dxa"/>
                </w:tcPr>
                <w:p w14:paraId="17FD1FC5"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50A8">
                    <w:fldChar w:fldCharType="separate"/>
                  </w:r>
                  <w:r>
                    <w:fldChar w:fldCharType="end"/>
                  </w:r>
                </w:p>
              </w:tc>
            </w:tr>
            <w:tr w:rsidR="0051160C" w14:paraId="1607868B" w14:textId="77777777" w:rsidTr="00BB7898">
              <w:trPr>
                <w:trHeight w:val="225"/>
              </w:trPr>
              <w:tc>
                <w:tcPr>
                  <w:tcW w:w="425" w:type="dxa"/>
                </w:tcPr>
                <w:p w14:paraId="13CF0B6E"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F63F13"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DE73A6"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C130CD"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51160C" w14:paraId="2DC73379" w14:textId="77777777" w:rsidTr="00BB7898">
        <w:trPr>
          <w:cantSplit/>
          <w:trHeight w:val="323"/>
        </w:trPr>
        <w:tc>
          <w:tcPr>
            <w:tcW w:w="9010" w:type="dxa"/>
            <w:gridSpan w:val="2"/>
            <w:tcBorders>
              <w:bottom w:val="nil"/>
            </w:tcBorders>
          </w:tcPr>
          <w:p w14:paraId="3C2D37EC" w14:textId="77777777"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1160C" w14:paraId="58B7D623" w14:textId="77777777" w:rsidTr="00BB7898">
        <w:trPr>
          <w:cantSplit/>
        </w:trPr>
        <w:tc>
          <w:tcPr>
            <w:tcW w:w="9010" w:type="dxa"/>
            <w:gridSpan w:val="2"/>
            <w:tcBorders>
              <w:top w:val="nil"/>
            </w:tcBorders>
          </w:tcPr>
          <w:p w14:paraId="1550D2E8" w14:textId="5CC7874B" w:rsidR="0051160C" w:rsidRDefault="0051160C" w:rsidP="00BB789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9EDDF9" w14:textId="77777777" w:rsidR="00C5616E" w:rsidRDefault="00C5616E"/>
    <w:p w14:paraId="0BF4E908" w14:textId="3B8AD76C" w:rsidR="00B368A3" w:rsidRDefault="00B368A3"/>
    <w:p w14:paraId="5FA961E7" w14:textId="77777777" w:rsidR="00B368A3" w:rsidRDefault="00B368A3"/>
    <w:p w14:paraId="070063C3" w14:textId="77777777" w:rsidR="00B368A3" w:rsidRDefault="00B368A3"/>
    <w:p w14:paraId="63F91899" w14:textId="474EBF79" w:rsidR="00B368A3" w:rsidRDefault="00B368A3"/>
    <w:p w14:paraId="66318A82" w14:textId="77777777" w:rsidR="00B368A3" w:rsidRDefault="00B368A3"/>
    <w:p w14:paraId="5F68A006" w14:textId="482902B5" w:rsidR="00B368A3" w:rsidRDefault="00B368A3"/>
    <w:p w14:paraId="4BCFDCDF" w14:textId="77777777" w:rsidR="00B368A3" w:rsidRDefault="00B368A3"/>
    <w:p w14:paraId="0C0D8C7E" w14:textId="77777777" w:rsidR="00B368A3" w:rsidRPr="00B50B27" w:rsidRDefault="00B368A3"/>
    <w:sectPr w:rsidR="00B368A3" w:rsidRPr="00B50B27" w:rsidSect="00192C6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508F4" w14:textId="77777777" w:rsidR="00F44DD7" w:rsidRDefault="00F44DD7" w:rsidP="000616B5">
      <w:r>
        <w:separator/>
      </w:r>
    </w:p>
  </w:endnote>
  <w:endnote w:type="continuationSeparator" w:id="0">
    <w:p w14:paraId="6349B97C" w14:textId="77777777" w:rsidR="00F44DD7" w:rsidRDefault="00F44DD7" w:rsidP="000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ACF0" w14:textId="50564375" w:rsidR="00F9709B" w:rsidRPr="00FD7786" w:rsidRDefault="009350A8" w:rsidP="00F9709B">
    <w:pPr>
      <w:pStyle w:val="Footer"/>
      <w:rPr>
        <w:sz w:val="22"/>
        <w:szCs w:val="22"/>
      </w:rPr>
    </w:pPr>
    <w:r>
      <w:rPr>
        <w:sz w:val="22"/>
        <w:szCs w:val="22"/>
      </w:rPr>
      <w:t>02</w:t>
    </w:r>
    <w:r w:rsidR="00F2405E">
      <w:rPr>
        <w:sz w:val="22"/>
        <w:szCs w:val="22"/>
      </w:rPr>
      <w:t>/201</w:t>
    </w:r>
    <w:r>
      <w:rPr>
        <w:sz w:val="22"/>
        <w:szCs w:val="22"/>
      </w:rPr>
      <w:t>7</w:t>
    </w:r>
    <w:bookmarkStart w:id="5" w:name="_GoBack"/>
    <w:bookmarkEnd w:id="5"/>
    <w:sdt>
      <w:sdtPr>
        <w:rPr>
          <w:sz w:val="22"/>
          <w:szCs w:val="22"/>
        </w:rPr>
        <w:id w:val="-1412226188"/>
        <w:docPartObj>
          <w:docPartGallery w:val="Page Numbers (Bottom of Page)"/>
          <w:docPartUnique/>
        </w:docPartObj>
      </w:sdtPr>
      <w:sdtEndPr>
        <w:rPr>
          <w:noProof/>
        </w:rPr>
      </w:sdtEndPr>
      <w:sdtContent>
        <w:r w:rsidR="00F9709B" w:rsidRPr="00FD7786">
          <w:rPr>
            <w:sz w:val="22"/>
            <w:szCs w:val="22"/>
          </w:rPr>
          <w:tab/>
        </w:r>
        <w:r w:rsidR="00FD7786" w:rsidRPr="00FD7786">
          <w:rPr>
            <w:sz w:val="22"/>
            <w:szCs w:val="22"/>
          </w:rPr>
          <w:t>28-</w:t>
        </w:r>
        <w:r w:rsidR="00F9709B" w:rsidRPr="00FD7786">
          <w:rPr>
            <w:sz w:val="22"/>
            <w:szCs w:val="22"/>
          </w:rPr>
          <w:fldChar w:fldCharType="begin"/>
        </w:r>
        <w:r w:rsidR="00F9709B" w:rsidRPr="00FD7786">
          <w:rPr>
            <w:sz w:val="22"/>
            <w:szCs w:val="22"/>
          </w:rPr>
          <w:instrText xml:space="preserve"> PAGE   \* MERGEFORMAT </w:instrText>
        </w:r>
        <w:r w:rsidR="00F9709B" w:rsidRPr="00FD7786">
          <w:rPr>
            <w:sz w:val="22"/>
            <w:szCs w:val="22"/>
          </w:rPr>
          <w:fldChar w:fldCharType="separate"/>
        </w:r>
        <w:r>
          <w:rPr>
            <w:noProof/>
            <w:sz w:val="22"/>
            <w:szCs w:val="22"/>
          </w:rPr>
          <w:t>2</w:t>
        </w:r>
        <w:r w:rsidR="00F9709B" w:rsidRPr="00FD7786">
          <w:rPr>
            <w:noProof/>
            <w:sz w:val="22"/>
            <w:szCs w:val="22"/>
          </w:rPr>
          <w:fldChar w:fldCharType="end"/>
        </w:r>
      </w:sdtContent>
    </w:sdt>
  </w:p>
  <w:p w14:paraId="29754D41" w14:textId="77777777" w:rsidR="00B31A90" w:rsidRDefault="00B31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01153"/>
      <w:docPartObj>
        <w:docPartGallery w:val="Page Numbers (Bottom of Page)"/>
        <w:docPartUnique/>
      </w:docPartObj>
    </w:sdtPr>
    <w:sdtEndPr>
      <w:rPr>
        <w:noProof/>
        <w:sz w:val="22"/>
        <w:szCs w:val="22"/>
      </w:rPr>
    </w:sdtEndPr>
    <w:sdtContent>
      <w:p w14:paraId="62D8700A" w14:textId="179381FA" w:rsidR="00F231CD" w:rsidRPr="00FD7786" w:rsidRDefault="00B31A90">
        <w:pPr>
          <w:pStyle w:val="Footer"/>
          <w:jc w:val="center"/>
          <w:rPr>
            <w:noProof/>
            <w:sz w:val="22"/>
            <w:szCs w:val="22"/>
          </w:rPr>
        </w:pPr>
        <w:r>
          <w:t xml:space="preserve">                                   </w:t>
        </w:r>
        <w:r w:rsidR="00F2405E">
          <w:t xml:space="preserve">                             </w:t>
        </w:r>
        <w:r>
          <w:t xml:space="preserve"> </w:t>
        </w:r>
        <w:r w:rsidR="00FD7786" w:rsidRPr="00FD7786">
          <w:rPr>
            <w:sz w:val="22"/>
            <w:szCs w:val="22"/>
          </w:rPr>
          <w:t>28-</w:t>
        </w:r>
        <w:r w:rsidR="00F231CD" w:rsidRPr="00FD7786">
          <w:rPr>
            <w:sz w:val="22"/>
            <w:szCs w:val="22"/>
          </w:rPr>
          <w:fldChar w:fldCharType="begin"/>
        </w:r>
        <w:r w:rsidR="00F231CD" w:rsidRPr="00FD7786">
          <w:rPr>
            <w:sz w:val="22"/>
            <w:szCs w:val="22"/>
          </w:rPr>
          <w:instrText xml:space="preserve"> PAGE   \* MERGEFORMAT </w:instrText>
        </w:r>
        <w:r w:rsidR="00F231CD" w:rsidRPr="00FD7786">
          <w:rPr>
            <w:sz w:val="22"/>
            <w:szCs w:val="22"/>
          </w:rPr>
          <w:fldChar w:fldCharType="separate"/>
        </w:r>
        <w:r w:rsidR="009350A8">
          <w:rPr>
            <w:noProof/>
            <w:sz w:val="22"/>
            <w:szCs w:val="22"/>
          </w:rPr>
          <w:t>1</w:t>
        </w:r>
        <w:r w:rsidR="00F231CD" w:rsidRPr="00FD7786">
          <w:rPr>
            <w:noProof/>
            <w:sz w:val="22"/>
            <w:szCs w:val="22"/>
          </w:rPr>
          <w:fldChar w:fldCharType="end"/>
        </w:r>
        <w:r w:rsidRPr="00FD7786">
          <w:rPr>
            <w:noProof/>
            <w:sz w:val="22"/>
            <w:szCs w:val="22"/>
          </w:rPr>
          <w:t xml:space="preserve">                                                              </w:t>
        </w:r>
        <w:r w:rsidR="009350A8">
          <w:rPr>
            <w:noProof/>
            <w:sz w:val="22"/>
            <w:szCs w:val="22"/>
          </w:rPr>
          <w:t>02</w:t>
        </w:r>
        <w:r w:rsidR="00F76E07">
          <w:rPr>
            <w:noProof/>
            <w:sz w:val="22"/>
            <w:szCs w:val="22"/>
          </w:rPr>
          <w:t>/201</w:t>
        </w:r>
        <w:r w:rsidR="009350A8">
          <w:rPr>
            <w:noProof/>
            <w:sz w:val="22"/>
            <w:szCs w:val="22"/>
          </w:rPr>
          <w:t>7</w:t>
        </w:r>
      </w:p>
      <w:p w14:paraId="244F2559" w14:textId="77777777" w:rsidR="00F231CD" w:rsidRPr="00FD7786" w:rsidRDefault="009350A8" w:rsidP="00F231CD">
        <w:pPr>
          <w:pStyle w:val="Footer"/>
          <w:rPr>
            <w:sz w:val="22"/>
            <w:szCs w:val="22"/>
          </w:rPr>
        </w:pPr>
      </w:p>
    </w:sdtContent>
  </w:sdt>
  <w:p w14:paraId="0B588886" w14:textId="77777777" w:rsidR="00F231CD" w:rsidRDefault="00F2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A393" w14:textId="77777777" w:rsidR="009350A8" w:rsidRDefault="0093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7585" w14:textId="77777777" w:rsidR="00F44DD7" w:rsidRDefault="00F44DD7" w:rsidP="000616B5">
      <w:r>
        <w:separator/>
      </w:r>
    </w:p>
  </w:footnote>
  <w:footnote w:type="continuationSeparator" w:id="0">
    <w:p w14:paraId="6EB83322" w14:textId="77777777" w:rsidR="00F44DD7" w:rsidRDefault="00F44DD7" w:rsidP="0006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438B" w14:textId="15DF0606" w:rsidR="00B31A90" w:rsidRPr="00B50B27" w:rsidRDefault="00B31A90" w:rsidP="00B31A90">
    <w:pPr>
      <w:pStyle w:val="Level1"/>
      <w:keepNext/>
      <w:keepLines/>
      <w:tabs>
        <w:tab w:val="clear" w:pos="360"/>
        <w:tab w:val="left" w:pos="720"/>
        <w:tab w:val="left" w:pos="1440"/>
        <w:tab w:val="left" w:pos="2160"/>
        <w:tab w:val="left" w:pos="2880"/>
        <w:tab w:val="left" w:pos="3600"/>
        <w:tab w:val="left" w:pos="5040"/>
        <w:tab w:val="left" w:pos="5760"/>
        <w:tab w:val="left" w:pos="6480"/>
      </w:tabs>
    </w:pPr>
    <w:r>
      <w:t>6509.2 RE</w:t>
    </w:r>
    <w:r w:rsidR="00D0357D">
      <w:t>V</w:t>
    </w:r>
    <w:r>
      <w:t>-</w:t>
    </w:r>
    <w:r w:rsidR="00F2405E">
      <w:t>7</w:t>
    </w:r>
    <w:r w:rsidR="00F9709B">
      <w:tab/>
    </w:r>
    <w:r w:rsidR="00F9709B">
      <w:tab/>
    </w:r>
    <w:r w:rsidR="00F9709B">
      <w:tab/>
    </w:r>
    <w:r w:rsidR="00FD7786">
      <w:t xml:space="preserve">      </w:t>
    </w:r>
    <w:r w:rsidRPr="00B50B27">
      <w:t>Exhibit 28-7</w:t>
    </w:r>
    <w:r>
      <w:t xml:space="preserve"> </w:t>
    </w:r>
    <w:r>
      <w:tab/>
    </w:r>
    <w:r>
      <w:tab/>
    </w:r>
    <w:r>
      <w:tab/>
    </w:r>
  </w:p>
  <w:p w14:paraId="4FBAF154" w14:textId="77777777" w:rsidR="00B31A90" w:rsidRPr="00B50B27" w:rsidRDefault="00B31A90" w:rsidP="00B31A90">
    <w:pPr>
      <w:jc w:val="center"/>
    </w:pPr>
    <w:r w:rsidRPr="00B50B27">
      <w:t>Emergency Solutions Grant</w:t>
    </w:r>
    <w:r>
      <w:t>s</w:t>
    </w:r>
  </w:p>
  <w:p w14:paraId="51C90871" w14:textId="77777777" w:rsidR="00B31A90" w:rsidRDefault="00B31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E023" w14:textId="42C084E9" w:rsidR="000616B5" w:rsidRPr="00B50B27" w:rsidRDefault="00B31A90" w:rsidP="00F76E07">
    <w:pPr>
      <w:pStyle w:val="Level1"/>
      <w:keepNext/>
      <w:keepLines/>
      <w:tabs>
        <w:tab w:val="clear" w:pos="360"/>
        <w:tab w:val="left" w:pos="720"/>
        <w:tab w:val="left" w:pos="1440"/>
        <w:tab w:val="left" w:pos="2160"/>
        <w:tab w:val="left" w:pos="2880"/>
        <w:tab w:val="left" w:pos="3600"/>
        <w:tab w:val="left" w:pos="5040"/>
        <w:tab w:val="left" w:pos="5760"/>
        <w:tab w:val="left" w:pos="6480"/>
      </w:tabs>
      <w:ind w:right="-360"/>
    </w:pPr>
    <w:r>
      <w:tab/>
    </w:r>
    <w:r>
      <w:tab/>
    </w:r>
    <w:r>
      <w:tab/>
    </w:r>
    <w:r>
      <w:tab/>
    </w:r>
    <w:r>
      <w:tab/>
      <w:t xml:space="preserve">    </w:t>
    </w:r>
    <w:r w:rsidR="00FD7786">
      <w:t xml:space="preserve">  </w:t>
    </w:r>
    <w:r w:rsidR="000616B5" w:rsidRPr="00B50B27">
      <w:t xml:space="preserve">Exhibit </w:t>
    </w:r>
    <w:r w:rsidR="00F231CD" w:rsidRPr="00B50B27">
      <w:t>28-7</w:t>
    </w:r>
    <w:r w:rsidR="00D0357D">
      <w:t xml:space="preserve"> </w:t>
    </w:r>
    <w:r w:rsidR="00D0357D">
      <w:tab/>
    </w:r>
    <w:r w:rsidR="00D0357D">
      <w:tab/>
    </w:r>
    <w:r w:rsidR="00D0357D">
      <w:tab/>
      <w:t xml:space="preserve">           </w:t>
    </w:r>
    <w:r>
      <w:t>6509.2 RE</w:t>
    </w:r>
    <w:r w:rsidR="00D0357D">
      <w:t>V</w:t>
    </w:r>
    <w:r>
      <w:t>-</w:t>
    </w:r>
    <w:r w:rsidR="00F76E07">
      <w:t>7</w:t>
    </w:r>
  </w:p>
  <w:p w14:paraId="7328A462" w14:textId="77777777" w:rsidR="000616B5" w:rsidRPr="00B50B27" w:rsidRDefault="00F231CD" w:rsidP="00F231CD">
    <w:pPr>
      <w:jc w:val="center"/>
    </w:pPr>
    <w:r w:rsidRPr="00B50B27">
      <w:t>Emergency Solutions Grant</w:t>
    </w:r>
    <w:r w:rsidR="00B31A90">
      <w:t>s</w:t>
    </w:r>
  </w:p>
  <w:p w14:paraId="79374599" w14:textId="77777777" w:rsidR="000616B5" w:rsidRDefault="00061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EEA4" w14:textId="77777777" w:rsidR="009350A8" w:rsidRDefault="0093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DC2043D"/>
    <w:multiLevelType w:val="hybridMultilevel"/>
    <w:tmpl w:val="2700ABD6"/>
    <w:lvl w:ilvl="0" w:tplc="C490688A">
      <w:start w:val="1"/>
      <w:numFmt w:val="lowerLetter"/>
      <w:lvlText w:val="%1."/>
      <w:lvlJc w:val="left"/>
      <w:pPr>
        <w:ind w:left="720" w:hanging="360"/>
      </w:pPr>
      <w:rPr>
        <w:rFonts w:ascii="Times New Roman" w:eastAsia="Times New Roman" w:hAnsi="Times New Roman" w:cs="Times New Roman"/>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1390A"/>
    <w:multiLevelType w:val="hybridMultilevel"/>
    <w:tmpl w:val="BC268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96E92"/>
    <w:multiLevelType w:val="hybridMultilevel"/>
    <w:tmpl w:val="BC268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51509"/>
    <w:multiLevelType w:val="hybridMultilevel"/>
    <w:tmpl w:val="B55889A0"/>
    <w:lvl w:ilvl="0" w:tplc="0CC67158">
      <w:start w:val="1"/>
      <w:numFmt w:val="decimal"/>
      <w:pStyle w:val="Style1"/>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0252B2"/>
    <w:multiLevelType w:val="hybridMultilevel"/>
    <w:tmpl w:val="5BEE3F72"/>
    <w:lvl w:ilvl="0" w:tplc="6EECAE26">
      <w:start w:val="1"/>
      <w:numFmt w:val="lowerRoman"/>
      <w:lvlText w:val="%1."/>
      <w:lvlJc w:val="left"/>
      <w:pPr>
        <w:ind w:left="815" w:hanging="72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6" w15:restartNumberingAfterBreak="0">
    <w:nsid w:val="4C412968"/>
    <w:multiLevelType w:val="hybridMultilevel"/>
    <w:tmpl w:val="A5AA1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D45F2"/>
    <w:multiLevelType w:val="hybridMultilevel"/>
    <w:tmpl w:val="09DED98C"/>
    <w:lvl w:ilvl="0" w:tplc="5CE41D28">
      <w:start w:val="1"/>
      <w:numFmt w:val="lowerLetter"/>
      <w:lvlText w:val="%1."/>
      <w:lvlJc w:val="left"/>
      <w:pPr>
        <w:ind w:left="720" w:hanging="360"/>
      </w:pPr>
      <w:rPr>
        <w:rFonts w:ascii="Times New Roman" w:eastAsia="Times New Roman" w:hAnsi="Times New Roman" w:cs="Times New Roman"/>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2382A"/>
    <w:multiLevelType w:val="hybridMultilevel"/>
    <w:tmpl w:val="6B4A5E5E"/>
    <w:lvl w:ilvl="0" w:tplc="9D681408">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0" w15:restartNumberingAfterBreak="0">
    <w:nsid w:val="5DF000F8"/>
    <w:multiLevelType w:val="hybridMultilevel"/>
    <w:tmpl w:val="D0A85526"/>
    <w:lvl w:ilvl="0" w:tplc="0409000F">
      <w:start w:val="1"/>
      <w:numFmt w:val="decimal"/>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42616"/>
    <w:multiLevelType w:val="hybridMultilevel"/>
    <w:tmpl w:val="F7644E2C"/>
    <w:lvl w:ilvl="0" w:tplc="3F56191A">
      <w:start w:val="1"/>
      <w:numFmt w:val="lowerRoman"/>
      <w:lvlText w:val="%1."/>
      <w:lvlJc w:val="left"/>
      <w:pPr>
        <w:ind w:left="648" w:hanging="360"/>
      </w:pPr>
      <w:rPr>
        <w:rFonts w:ascii="Times New Roman" w:eastAsia="Times New Roman" w:hAnsi="Times New Roman" w:cs="Times New Roman"/>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6A3F3611"/>
    <w:multiLevelType w:val="hybridMultilevel"/>
    <w:tmpl w:val="903E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F1015"/>
    <w:multiLevelType w:val="hybridMultilevel"/>
    <w:tmpl w:val="6B4A5E5E"/>
    <w:lvl w:ilvl="0" w:tplc="9D681408">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2A4C98"/>
    <w:multiLevelType w:val="hybridMultilevel"/>
    <w:tmpl w:val="9F8AFC86"/>
    <w:lvl w:ilvl="0" w:tplc="7D92AB6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10"/>
  </w:num>
  <w:num w:numId="5">
    <w:abstractNumId w:val="8"/>
  </w:num>
  <w:num w:numId="6">
    <w:abstractNumId w:val="7"/>
  </w:num>
  <w:num w:numId="7">
    <w:abstractNumId w:val="1"/>
  </w:num>
  <w:num w:numId="8">
    <w:abstractNumId w:val="11"/>
  </w:num>
  <w:num w:numId="9">
    <w:abstractNumId w:val="12"/>
  </w:num>
  <w:num w:numId="10">
    <w:abstractNumId w:val="9"/>
  </w:num>
  <w:num w:numId="11">
    <w:abstractNumId w:val="6"/>
  </w:num>
  <w:num w:numId="12">
    <w:abstractNumId w:val="13"/>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911B0CE-16FA-4480-817F-AADEA6074F41}"/>
  </w:docVars>
  <w:rsids>
    <w:rsidRoot w:val="000616B5"/>
    <w:rsid w:val="00004F14"/>
    <w:rsid w:val="000227C0"/>
    <w:rsid w:val="00052ED6"/>
    <w:rsid w:val="000616B5"/>
    <w:rsid w:val="00064F34"/>
    <w:rsid w:val="000931A6"/>
    <w:rsid w:val="000A38F8"/>
    <w:rsid w:val="000C28FF"/>
    <w:rsid w:val="000C3855"/>
    <w:rsid w:val="000F3B46"/>
    <w:rsid w:val="001143C4"/>
    <w:rsid w:val="001161CB"/>
    <w:rsid w:val="001246DF"/>
    <w:rsid w:val="0014212E"/>
    <w:rsid w:val="001508E2"/>
    <w:rsid w:val="001621CC"/>
    <w:rsid w:val="00192C6F"/>
    <w:rsid w:val="001C54FC"/>
    <w:rsid w:val="001D379C"/>
    <w:rsid w:val="001E0328"/>
    <w:rsid w:val="001E1AD6"/>
    <w:rsid w:val="001F676F"/>
    <w:rsid w:val="00207F71"/>
    <w:rsid w:val="00220587"/>
    <w:rsid w:val="002402EF"/>
    <w:rsid w:val="00247191"/>
    <w:rsid w:val="002716D9"/>
    <w:rsid w:val="002B5507"/>
    <w:rsid w:val="002B7DC7"/>
    <w:rsid w:val="002C1071"/>
    <w:rsid w:val="00302070"/>
    <w:rsid w:val="00354D44"/>
    <w:rsid w:val="00362CC6"/>
    <w:rsid w:val="0037220C"/>
    <w:rsid w:val="00372700"/>
    <w:rsid w:val="00374640"/>
    <w:rsid w:val="00376945"/>
    <w:rsid w:val="003952CA"/>
    <w:rsid w:val="003B28E0"/>
    <w:rsid w:val="003D1831"/>
    <w:rsid w:val="003F108E"/>
    <w:rsid w:val="003F28E3"/>
    <w:rsid w:val="003F6CC6"/>
    <w:rsid w:val="00414250"/>
    <w:rsid w:val="00414DF3"/>
    <w:rsid w:val="00416775"/>
    <w:rsid w:val="00423CD6"/>
    <w:rsid w:val="004252B8"/>
    <w:rsid w:val="00434F34"/>
    <w:rsid w:val="004441E9"/>
    <w:rsid w:val="00464B8E"/>
    <w:rsid w:val="004674EC"/>
    <w:rsid w:val="004760C2"/>
    <w:rsid w:val="004D2508"/>
    <w:rsid w:val="004E6F33"/>
    <w:rsid w:val="0051160C"/>
    <w:rsid w:val="00515882"/>
    <w:rsid w:val="005B57A0"/>
    <w:rsid w:val="005C7D77"/>
    <w:rsid w:val="005E1B2B"/>
    <w:rsid w:val="005E3A01"/>
    <w:rsid w:val="005F2798"/>
    <w:rsid w:val="005F619F"/>
    <w:rsid w:val="00625508"/>
    <w:rsid w:val="00636DD4"/>
    <w:rsid w:val="00657E93"/>
    <w:rsid w:val="0066167A"/>
    <w:rsid w:val="006E13CB"/>
    <w:rsid w:val="006E7CA6"/>
    <w:rsid w:val="0070041F"/>
    <w:rsid w:val="00711F95"/>
    <w:rsid w:val="00776218"/>
    <w:rsid w:val="00781F9A"/>
    <w:rsid w:val="007B167D"/>
    <w:rsid w:val="007B79E8"/>
    <w:rsid w:val="007F2271"/>
    <w:rsid w:val="00872A33"/>
    <w:rsid w:val="008E533E"/>
    <w:rsid w:val="009012F2"/>
    <w:rsid w:val="0091041A"/>
    <w:rsid w:val="009350A8"/>
    <w:rsid w:val="00950B03"/>
    <w:rsid w:val="0095694D"/>
    <w:rsid w:val="00970148"/>
    <w:rsid w:val="00972015"/>
    <w:rsid w:val="00990B4C"/>
    <w:rsid w:val="009C6101"/>
    <w:rsid w:val="00A564E2"/>
    <w:rsid w:val="00AB66F6"/>
    <w:rsid w:val="00AB670D"/>
    <w:rsid w:val="00B1781C"/>
    <w:rsid w:val="00B31A90"/>
    <w:rsid w:val="00B368A3"/>
    <w:rsid w:val="00B50B27"/>
    <w:rsid w:val="00B5618D"/>
    <w:rsid w:val="00B857CD"/>
    <w:rsid w:val="00B90AB1"/>
    <w:rsid w:val="00BA6152"/>
    <w:rsid w:val="00BB0D6C"/>
    <w:rsid w:val="00BC00C9"/>
    <w:rsid w:val="00BF0E71"/>
    <w:rsid w:val="00C27AE8"/>
    <w:rsid w:val="00C5531F"/>
    <w:rsid w:val="00C5616E"/>
    <w:rsid w:val="00C61A4C"/>
    <w:rsid w:val="00C64A1A"/>
    <w:rsid w:val="00C81631"/>
    <w:rsid w:val="00CB32BD"/>
    <w:rsid w:val="00CC248D"/>
    <w:rsid w:val="00CD1F60"/>
    <w:rsid w:val="00CD4447"/>
    <w:rsid w:val="00D0357D"/>
    <w:rsid w:val="00D46C79"/>
    <w:rsid w:val="00D603F7"/>
    <w:rsid w:val="00D61F0C"/>
    <w:rsid w:val="00D812CB"/>
    <w:rsid w:val="00D92731"/>
    <w:rsid w:val="00D927A6"/>
    <w:rsid w:val="00DA1A85"/>
    <w:rsid w:val="00DC1A57"/>
    <w:rsid w:val="00DD2B44"/>
    <w:rsid w:val="00E2030B"/>
    <w:rsid w:val="00E20A86"/>
    <w:rsid w:val="00E236F5"/>
    <w:rsid w:val="00E261F6"/>
    <w:rsid w:val="00E40DCB"/>
    <w:rsid w:val="00E65CE5"/>
    <w:rsid w:val="00E66782"/>
    <w:rsid w:val="00E70DEF"/>
    <w:rsid w:val="00E73C79"/>
    <w:rsid w:val="00E760F6"/>
    <w:rsid w:val="00E93C4A"/>
    <w:rsid w:val="00EB17A7"/>
    <w:rsid w:val="00F231CD"/>
    <w:rsid w:val="00F2405E"/>
    <w:rsid w:val="00F268F1"/>
    <w:rsid w:val="00F44DD7"/>
    <w:rsid w:val="00F526CA"/>
    <w:rsid w:val="00F56DFB"/>
    <w:rsid w:val="00F7484C"/>
    <w:rsid w:val="00F76E07"/>
    <w:rsid w:val="00F9709B"/>
    <w:rsid w:val="00FA6F40"/>
    <w:rsid w:val="00FC5E6D"/>
    <w:rsid w:val="00FD389E"/>
    <w:rsid w:val="00FD6EE5"/>
    <w:rsid w:val="00FD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53CF38"/>
  <w15:docId w15:val="{458339D4-0488-4603-9323-A2C74B07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616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rsid w:val="000616B5"/>
    <w:pPr>
      <w:tabs>
        <w:tab w:val="clear" w:pos="4680"/>
        <w:tab w:val="clear" w:pos="9360"/>
        <w:tab w:val="num" w:pos="360"/>
        <w:tab w:val="center" w:pos="4320"/>
        <w:tab w:val="right" w:pos="8640"/>
      </w:tabs>
    </w:pPr>
  </w:style>
  <w:style w:type="character" w:customStyle="1" w:styleId="Level1Char">
    <w:name w:val="Level 1 Char"/>
    <w:link w:val="Level1"/>
    <w:locked/>
    <w:rsid w:val="000616B5"/>
    <w:rPr>
      <w:rFonts w:ascii="Times New Roman" w:eastAsia="Times New Roman" w:hAnsi="Times New Roman" w:cs="Times New Roman"/>
      <w:sz w:val="24"/>
      <w:szCs w:val="24"/>
    </w:rPr>
  </w:style>
  <w:style w:type="paragraph" w:customStyle="1" w:styleId="Style1">
    <w:name w:val="Style1"/>
    <w:basedOn w:val="Normal"/>
    <w:rsid w:val="000616B5"/>
    <w:pPr>
      <w:numPr>
        <w:numId w:val="1"/>
      </w:numPr>
      <w:spacing w:after="200" w:line="276" w:lineRule="auto"/>
    </w:pPr>
    <w:rPr>
      <w:rFonts w:ascii="Calibri" w:eastAsia="Calibri" w:hAnsi="Calibri"/>
      <w:sz w:val="22"/>
      <w:szCs w:val="22"/>
    </w:rPr>
  </w:style>
  <w:style w:type="paragraph" w:styleId="Header">
    <w:name w:val="header"/>
    <w:basedOn w:val="Normal"/>
    <w:link w:val="HeaderChar"/>
    <w:unhideWhenUsed/>
    <w:rsid w:val="000616B5"/>
    <w:pPr>
      <w:tabs>
        <w:tab w:val="center" w:pos="4680"/>
        <w:tab w:val="right" w:pos="9360"/>
      </w:tabs>
    </w:pPr>
  </w:style>
  <w:style w:type="character" w:customStyle="1" w:styleId="HeaderChar">
    <w:name w:val="Header Char"/>
    <w:basedOn w:val="DefaultParagraphFont"/>
    <w:link w:val="Header"/>
    <w:uiPriority w:val="99"/>
    <w:rsid w:val="000616B5"/>
    <w:rPr>
      <w:rFonts w:ascii="Times New Roman" w:eastAsia="Times New Roman" w:hAnsi="Times New Roman" w:cs="Times New Roman"/>
      <w:sz w:val="24"/>
      <w:szCs w:val="24"/>
    </w:rPr>
  </w:style>
  <w:style w:type="paragraph" w:styleId="BodyTextIndent">
    <w:name w:val="Body Text Indent"/>
    <w:basedOn w:val="Normal"/>
    <w:link w:val="BodyTextIndentChar"/>
    <w:rsid w:val="000616B5"/>
    <w:pPr>
      <w:ind w:left="720"/>
    </w:pPr>
    <w:rPr>
      <w:sz w:val="20"/>
    </w:rPr>
  </w:style>
  <w:style w:type="character" w:customStyle="1" w:styleId="BodyTextIndentChar">
    <w:name w:val="Body Text Indent Char"/>
    <w:basedOn w:val="DefaultParagraphFont"/>
    <w:link w:val="BodyTextIndent"/>
    <w:rsid w:val="000616B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616B5"/>
    <w:pPr>
      <w:tabs>
        <w:tab w:val="center" w:pos="4680"/>
        <w:tab w:val="right" w:pos="9360"/>
      </w:tabs>
    </w:pPr>
  </w:style>
  <w:style w:type="character" w:customStyle="1" w:styleId="FooterChar">
    <w:name w:val="Footer Char"/>
    <w:basedOn w:val="DefaultParagraphFont"/>
    <w:link w:val="Footer"/>
    <w:uiPriority w:val="99"/>
    <w:rsid w:val="000616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16B5"/>
    <w:rPr>
      <w:rFonts w:ascii="Tahoma" w:hAnsi="Tahoma" w:cs="Tahoma"/>
      <w:sz w:val="16"/>
      <w:szCs w:val="16"/>
    </w:rPr>
  </w:style>
  <w:style w:type="character" w:customStyle="1" w:styleId="BalloonTextChar">
    <w:name w:val="Balloon Text Char"/>
    <w:basedOn w:val="DefaultParagraphFont"/>
    <w:link w:val="BalloonText"/>
    <w:uiPriority w:val="99"/>
    <w:semiHidden/>
    <w:rsid w:val="000616B5"/>
    <w:rPr>
      <w:rFonts w:ascii="Tahoma" w:eastAsia="Times New Roman" w:hAnsi="Tahoma" w:cs="Tahoma"/>
      <w:sz w:val="16"/>
      <w:szCs w:val="16"/>
    </w:rPr>
  </w:style>
  <w:style w:type="paragraph" w:styleId="ListParagraph">
    <w:name w:val="List Paragraph"/>
    <w:basedOn w:val="Normal"/>
    <w:uiPriority w:val="34"/>
    <w:qFormat/>
    <w:rsid w:val="005C7D77"/>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636DD4"/>
    <w:rPr>
      <w:sz w:val="16"/>
      <w:szCs w:val="16"/>
    </w:rPr>
  </w:style>
  <w:style w:type="paragraph" w:styleId="CommentText">
    <w:name w:val="annotation text"/>
    <w:basedOn w:val="Normal"/>
    <w:link w:val="CommentTextChar"/>
    <w:uiPriority w:val="99"/>
    <w:unhideWhenUsed/>
    <w:rsid w:val="00636DD4"/>
    <w:rPr>
      <w:sz w:val="20"/>
      <w:szCs w:val="20"/>
    </w:rPr>
  </w:style>
  <w:style w:type="character" w:customStyle="1" w:styleId="CommentTextChar">
    <w:name w:val="Comment Text Char"/>
    <w:basedOn w:val="DefaultParagraphFont"/>
    <w:link w:val="CommentText"/>
    <w:uiPriority w:val="99"/>
    <w:rsid w:val="00636D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6DD4"/>
    <w:rPr>
      <w:b/>
      <w:bCs/>
    </w:rPr>
  </w:style>
  <w:style w:type="character" w:customStyle="1" w:styleId="CommentSubjectChar">
    <w:name w:val="Comment Subject Char"/>
    <w:basedOn w:val="CommentTextChar"/>
    <w:link w:val="CommentSubject"/>
    <w:uiPriority w:val="99"/>
    <w:semiHidden/>
    <w:rsid w:val="00636DD4"/>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0227C0"/>
    <w:pPr>
      <w:spacing w:after="120" w:line="480" w:lineRule="auto"/>
      <w:ind w:left="360"/>
    </w:pPr>
  </w:style>
  <w:style w:type="character" w:customStyle="1" w:styleId="BodyTextIndent2Char">
    <w:name w:val="Body Text Indent 2 Char"/>
    <w:basedOn w:val="DefaultParagraphFont"/>
    <w:link w:val="BodyTextIndent2"/>
    <w:uiPriority w:val="99"/>
    <w:semiHidden/>
    <w:rsid w:val="000227C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1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h56120</dc:creator>
  <cp:lastModifiedBy>Maguire, Deirdre</cp:lastModifiedBy>
  <cp:revision>5</cp:revision>
  <cp:lastPrinted>2015-08-16T20:59:00Z</cp:lastPrinted>
  <dcterms:created xsi:type="dcterms:W3CDTF">2016-10-03T12:46:00Z</dcterms:created>
  <dcterms:modified xsi:type="dcterms:W3CDTF">2017-02-27T12:42:00Z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